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DF" w:rsidRDefault="00D976DF" w:rsidP="00D976DF">
      <w:pPr>
        <w:jc w:val="both"/>
        <w:rPr>
          <w:color w:val="1F497D"/>
        </w:rPr>
      </w:pPr>
    </w:p>
    <w:tbl>
      <w:tblPr>
        <w:tblW w:w="9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976DF" w:rsidTr="00EF4962">
        <w:trPr>
          <w:trHeight w:val="799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DF" w:rsidRDefault="00D976DF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4055" cy="516890"/>
                  <wp:effectExtent l="0" t="0" r="0" b="0"/>
                  <wp:docPr id="1" name="Imagen 1" descr="cid:image001.png@01D20820.8DF2F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0820.8DF2F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05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76DF" w:rsidRDefault="00D976DF">
            <w:pPr>
              <w:jc w:val="both"/>
            </w:pPr>
          </w:p>
        </w:tc>
      </w:tr>
      <w:tr w:rsidR="00D976DF" w:rsidTr="00EF4962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F" w:rsidRDefault="00D976DF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976DF" w:rsidTr="00EF4962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F" w:rsidRDefault="00D976DF">
            <w:pPr>
              <w:rPr>
                <w:b/>
                <w:bCs/>
                <w:color w:val="1F497D"/>
                <w:sz w:val="36"/>
                <w:szCs w:val="36"/>
              </w:rPr>
            </w:pPr>
          </w:p>
        </w:tc>
      </w:tr>
      <w:tr w:rsidR="00D976DF" w:rsidTr="00EF4962">
        <w:trPr>
          <w:trHeight w:val="126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215" w:rsidRPr="00EF4962" w:rsidRDefault="00587215" w:rsidP="004F2730">
            <w:pPr>
              <w:pStyle w:val="Default"/>
              <w:jc w:val="center"/>
              <w:rPr>
                <w:rFonts w:ascii="Verdana" w:hAnsi="Verdana"/>
                <w:b/>
                <w:bCs/>
                <w:color w:val="00B050"/>
                <w:sz w:val="32"/>
                <w:szCs w:val="32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El </w:t>
            </w:r>
            <w:r w:rsidRPr="00F40374">
              <w:rPr>
                <w:rFonts w:ascii="Verdana" w:hAnsi="Verdana"/>
                <w:b/>
                <w:color w:val="00B050"/>
              </w:rPr>
              <w:t>6</w:t>
            </w:r>
            <w:r w:rsidR="004F2730" w:rsidRPr="00F40374">
              <w:rPr>
                <w:rFonts w:ascii="Verdana" w:hAnsi="Verdana"/>
                <w:b/>
                <w:color w:val="00B050"/>
              </w:rPr>
              <w:t>5</w:t>
            </w:r>
            <w:r w:rsidRPr="00F40374">
              <w:rPr>
                <w:rFonts w:ascii="Verdana" w:hAnsi="Verdana"/>
                <w:b/>
                <w:color w:val="00B050"/>
              </w:rPr>
              <w:t>%</w:t>
            </w:r>
            <w:r>
              <w:rPr>
                <w:rFonts w:ascii="Verdana" w:hAnsi="Verdana"/>
                <w:b/>
                <w:color w:val="00B050"/>
              </w:rPr>
              <w:t xml:space="preserve"> de los accidentes de tráfico que sufrieron en 2019 trabajadores protegidos por 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fueron in 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itinere</w:t>
            </w:r>
            <w:proofErr w:type="spellEnd"/>
          </w:p>
        </w:tc>
      </w:tr>
      <w:tr w:rsidR="00D976DF" w:rsidTr="00EF4962">
        <w:trPr>
          <w:trHeight w:val="126"/>
          <w:jc w:val="center"/>
        </w:trPr>
        <w:tc>
          <w:tcPr>
            <w:tcW w:w="9500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6DF" w:rsidRDefault="00D976DF">
            <w:pPr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976DF" w:rsidTr="00EF4962">
        <w:trPr>
          <w:trHeight w:val="8970"/>
          <w:jc w:val="center"/>
        </w:trPr>
        <w:tc>
          <w:tcPr>
            <w:tcW w:w="9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6DF" w:rsidRDefault="00D976DF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976DF" w:rsidRDefault="00D976DF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Madrid, a 26 de febrero  de 2020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976DF" w:rsidRDefault="00D976DF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F60D9B" w:rsidRPr="00F40374" w:rsidRDefault="00043FFC" w:rsidP="00F60D9B">
            <w:pPr>
              <w:numPr>
                <w:ilvl w:val="0"/>
                <w:numId w:val="1"/>
              </w:num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  <w:r w:rsidRPr="00F40374">
              <w:rPr>
                <w:rFonts w:ascii="Verdana" w:hAnsi="Verdana"/>
                <w:sz w:val="24"/>
                <w:szCs w:val="24"/>
              </w:rPr>
              <w:t xml:space="preserve">Del total de accidentes de trabajo que implican baja, </w:t>
            </w:r>
            <w:r w:rsidR="00866CA2" w:rsidRPr="00F40374">
              <w:rPr>
                <w:rFonts w:ascii="Verdana" w:hAnsi="Verdana"/>
                <w:sz w:val="24"/>
                <w:szCs w:val="24"/>
              </w:rPr>
              <w:t xml:space="preserve">el 13% son </w:t>
            </w:r>
            <w:r w:rsidR="00F60D9B" w:rsidRPr="00F40374">
              <w:rPr>
                <w:rFonts w:ascii="Verdana" w:hAnsi="Verdana"/>
                <w:sz w:val="24"/>
                <w:szCs w:val="24"/>
              </w:rPr>
              <w:t xml:space="preserve">de tráfico, según </w:t>
            </w:r>
            <w:r w:rsidR="00F40374">
              <w:rPr>
                <w:rFonts w:ascii="Verdana" w:hAnsi="Verdana"/>
                <w:sz w:val="24"/>
                <w:szCs w:val="24"/>
              </w:rPr>
              <w:t xml:space="preserve">avance </w:t>
            </w:r>
            <w:r w:rsidR="007C1F42">
              <w:rPr>
                <w:rFonts w:ascii="Verdana" w:hAnsi="Verdana"/>
                <w:sz w:val="24"/>
                <w:szCs w:val="24"/>
              </w:rPr>
              <w:t xml:space="preserve">de </w:t>
            </w:r>
            <w:r w:rsidR="00F60D9B" w:rsidRPr="00F40374">
              <w:rPr>
                <w:rFonts w:ascii="Verdana" w:hAnsi="Verdana"/>
                <w:sz w:val="24"/>
                <w:szCs w:val="24"/>
              </w:rPr>
              <w:t>datos relativos al pasado año del Ministerio de Trabajo</w:t>
            </w:r>
            <w:r w:rsidR="009D6958" w:rsidRPr="00F40374">
              <w:rPr>
                <w:rFonts w:ascii="Verdana" w:hAnsi="Verdana"/>
                <w:sz w:val="24"/>
                <w:szCs w:val="24"/>
              </w:rPr>
              <w:t>, Migraciones y Seguridad Social</w:t>
            </w:r>
            <w:r w:rsidR="00B36AF1" w:rsidRPr="00F4037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F60D9B" w:rsidRDefault="00F60D9B" w:rsidP="00F60D9B">
            <w:pPr>
              <w:ind w:left="720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60D9B" w:rsidRPr="00DC4569" w:rsidRDefault="00F60D9B" w:rsidP="00F60D9B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Los trabajadores protegidos por Fraternidad-</w:t>
            </w:r>
            <w:proofErr w:type="spellStart"/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Muprespa</w:t>
            </w:r>
            <w:proofErr w:type="spellEnd"/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, Mutua Colaboradora con la Seguridad Social, sufrieron el pasado año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un total de 7.066</w:t>
            </w:r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accidentes de tráfico durante la jornada laboral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. De ellos, el </w:t>
            </w:r>
            <w:r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6</w:t>
            </w:r>
            <w:r w:rsidR="004F2730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5</w:t>
            </w:r>
            <w:r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%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(4.613) fueron accidentes in </w:t>
            </w:r>
            <w:proofErr w:type="spellStart"/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itinere</w:t>
            </w:r>
            <w:proofErr w:type="spellEnd"/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, es decir, se produjeron al ir o volver del trabajo, mientras que el resto, 2.453, tuvieron lugar d</w:t>
            </w:r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entro de su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jornada </w:t>
            </w:r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de trabajo. </w:t>
            </w:r>
          </w:p>
          <w:p w:rsidR="00F60D9B" w:rsidRDefault="00F60D9B" w:rsidP="00043FFC">
            <w:pPr>
              <w:pStyle w:val="Default"/>
              <w:jc w:val="both"/>
              <w:rPr>
                <w:rFonts w:ascii="Verdana" w:hAnsi="Verdana"/>
              </w:rPr>
            </w:pPr>
          </w:p>
          <w:p w:rsidR="00EF4962" w:rsidRDefault="00EF4962" w:rsidP="00043FFC">
            <w:pPr>
              <w:pStyle w:val="Default"/>
              <w:jc w:val="both"/>
              <w:rPr>
                <w:rFonts w:ascii="Verdana" w:hAnsi="Verdana"/>
              </w:rPr>
            </w:pPr>
            <w:r w:rsidRPr="00DC4569">
              <w:rPr>
                <w:rFonts w:ascii="Verdana" w:hAnsi="Verdana"/>
              </w:rPr>
              <w:t>El total de días de baja derivados de estos accidentes de trabajo fueron casi 280.000</w:t>
            </w:r>
            <w:r w:rsidR="00DC4569">
              <w:rPr>
                <w:rFonts w:ascii="Verdana" w:hAnsi="Verdana"/>
              </w:rPr>
              <w:t xml:space="preserve">, </w:t>
            </w:r>
            <w:r w:rsidR="00DC4569" w:rsidRPr="00F40374">
              <w:rPr>
                <w:rFonts w:ascii="Verdana" w:hAnsi="Verdana"/>
              </w:rPr>
              <w:t>4</w:t>
            </w:r>
            <w:r w:rsidR="004F2730" w:rsidRPr="00F40374">
              <w:rPr>
                <w:rFonts w:ascii="Verdana" w:hAnsi="Verdana"/>
              </w:rPr>
              <w:t>0</w:t>
            </w:r>
            <w:r w:rsidR="00DC4569" w:rsidRPr="00F40374">
              <w:rPr>
                <w:rFonts w:ascii="Verdana" w:hAnsi="Verdana"/>
              </w:rPr>
              <w:t xml:space="preserve"> días de media por siniestro, </w:t>
            </w:r>
            <w:r w:rsidRPr="00F40374">
              <w:rPr>
                <w:rFonts w:ascii="Verdana" w:hAnsi="Verdana"/>
              </w:rPr>
              <w:t xml:space="preserve">mientras que el coste </w:t>
            </w:r>
            <w:r w:rsidR="004022EE">
              <w:rPr>
                <w:rFonts w:ascii="Verdana" w:hAnsi="Verdana"/>
              </w:rPr>
              <w:t xml:space="preserve">estimado </w:t>
            </w:r>
            <w:r w:rsidRPr="00F40374">
              <w:rPr>
                <w:rFonts w:ascii="Verdana" w:hAnsi="Verdana"/>
              </w:rPr>
              <w:t xml:space="preserve">para la </w:t>
            </w:r>
            <w:r w:rsidR="00DC4569" w:rsidRPr="00F40374">
              <w:rPr>
                <w:rFonts w:ascii="Verdana" w:hAnsi="Verdana"/>
              </w:rPr>
              <w:t>M</w:t>
            </w:r>
            <w:r w:rsidRPr="00F40374">
              <w:rPr>
                <w:rFonts w:ascii="Verdana" w:hAnsi="Verdana"/>
              </w:rPr>
              <w:t>utua, y por tanto para la Seguridad Social</w:t>
            </w:r>
            <w:r w:rsidR="00DC4569" w:rsidRPr="00F40374">
              <w:rPr>
                <w:rFonts w:ascii="Verdana" w:hAnsi="Verdana"/>
              </w:rPr>
              <w:t xml:space="preserve">, en prestaciones por incapacidad temporal </w:t>
            </w:r>
            <w:r w:rsidRPr="00F40374">
              <w:rPr>
                <w:rFonts w:ascii="Verdana" w:hAnsi="Verdana"/>
              </w:rPr>
              <w:t>por este concepto</w:t>
            </w:r>
            <w:r w:rsidR="00866CA2" w:rsidRPr="00F40374">
              <w:rPr>
                <w:rFonts w:ascii="Verdana" w:hAnsi="Verdana"/>
              </w:rPr>
              <w:t>,</w:t>
            </w:r>
            <w:r w:rsidRPr="00F40374">
              <w:rPr>
                <w:rFonts w:ascii="Verdana" w:hAnsi="Verdana"/>
              </w:rPr>
              <w:t xml:space="preserve"> fue de 11,</w:t>
            </w:r>
            <w:r w:rsidR="004F2730" w:rsidRPr="00F40374">
              <w:rPr>
                <w:rFonts w:ascii="Verdana" w:hAnsi="Verdana"/>
              </w:rPr>
              <w:t>2</w:t>
            </w:r>
            <w:r w:rsidRPr="00DC4569">
              <w:rPr>
                <w:rFonts w:ascii="Verdana" w:hAnsi="Verdana"/>
              </w:rPr>
              <w:t xml:space="preserve"> millones de euros</w:t>
            </w:r>
            <w:r w:rsidR="00DC4569">
              <w:rPr>
                <w:rFonts w:ascii="Verdana" w:hAnsi="Verdana"/>
              </w:rPr>
              <w:t xml:space="preserve"> </w:t>
            </w:r>
            <w:r w:rsidR="00F60D9B">
              <w:rPr>
                <w:rFonts w:ascii="Verdana" w:hAnsi="Verdana"/>
              </w:rPr>
              <w:t>en 2019</w:t>
            </w:r>
            <w:r w:rsidRPr="00DC4569">
              <w:rPr>
                <w:rFonts w:ascii="Verdana" w:hAnsi="Verdana"/>
              </w:rPr>
              <w:t xml:space="preserve">. </w:t>
            </w:r>
          </w:p>
          <w:p w:rsidR="00DC4569" w:rsidRPr="00DC4569" w:rsidRDefault="00DC4569" w:rsidP="00D976DF">
            <w:pPr>
              <w:pStyle w:val="Default"/>
              <w:rPr>
                <w:rFonts w:ascii="Verdana" w:hAnsi="Verdana"/>
              </w:rPr>
            </w:pPr>
          </w:p>
          <w:p w:rsidR="00F60D9B" w:rsidRDefault="00D976DF" w:rsidP="00EF4962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Fraternidad-</w:t>
            </w:r>
            <w:proofErr w:type="spellStart"/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Muprespa</w:t>
            </w:r>
            <w:proofErr w:type="spellEnd"/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ha ofrecido estos datos durante la mesa </w:t>
            </w:r>
            <w:r w:rsidR="00043FFC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s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o</w:t>
            </w:r>
            <w:r w:rsidR="00043FFC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bre “Seguridad Vial</w:t>
            </w:r>
            <w:r w:rsidR="00866CA2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en el Trabajo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”</w:t>
            </w:r>
            <w:r w:rsidR="005C7E46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celebrada e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n</w:t>
            </w:r>
            <w:r w:rsidR="005C7E46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la jornada </w:t>
            </w:r>
            <w:r w:rsidR="00F60D9B"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“Las actividades preventivas de las Mutuas </w:t>
            </w:r>
            <w:r w:rsidR="007C1F42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C</w:t>
            </w:r>
            <w:r w:rsidR="00F60D9B"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olaboradoras con la Seguridad Social”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60D9B"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organizada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por AMAT (Asociación de Mutuas de Accidentes de Trabajo)</w:t>
            </w:r>
            <w:r w:rsidR="00866CA2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este martes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dentro de SICUR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DC4569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feria referente en materia de seguridad a nivel nacional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866CA2" w:rsidRDefault="00866CA2" w:rsidP="00EF4962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</w:p>
          <w:p w:rsidR="00F60D9B" w:rsidRPr="00F40374" w:rsidRDefault="00866CA2" w:rsidP="00EF4962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David Revillo, técnico de Prevención de Riesgos Laborales del Departamento de Prevención y Desarrollo de la Cultura de la Salud de Fraternidad-</w:t>
            </w:r>
            <w:proofErr w:type="spellStart"/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Muprespa</w:t>
            </w:r>
            <w:proofErr w:type="spellEnd"/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, fue el responsable de presentar estos datos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y de describir </w:t>
            </w:r>
            <w:r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las </w:t>
            </w:r>
            <w:r w:rsidR="00F40374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acciones</w:t>
            </w:r>
            <w:r w:rsidR="002C762F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que la Mutua </w:t>
            </w:r>
            <w:r w:rsidR="002C762F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pone a disposición de </w:t>
            </w:r>
            <w:r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empresas mutualistas y trabajadores protegidos </w:t>
            </w:r>
            <w:r w:rsidR="002C762F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con el fin de llegar al objetivo de cero lesionados con motivo del tráfico. </w:t>
            </w:r>
          </w:p>
          <w:p w:rsidR="00F60D9B" w:rsidRPr="00F40374" w:rsidRDefault="00F60D9B" w:rsidP="00EF4962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</w:p>
          <w:p w:rsidR="00F60D9B" w:rsidRDefault="004F2730" w:rsidP="00EF4962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  <w:r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Entre las </w:t>
            </w:r>
            <w:r w:rsidR="00F40374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acciones ha destacado </w:t>
            </w:r>
            <w:r w:rsidR="002C762F" w:rsidRPr="00F40374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los Talleres de Segurid</w:t>
            </w:r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ad Vial con equipos de realidad virtual </w:t>
            </w:r>
            <w:proofErr w:type="spellStart"/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inmersiva</w:t>
            </w:r>
            <w:proofErr w:type="spellEnd"/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-</w:t>
            </w:r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se han celebrado más de 500 desde 2017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>-</w:t>
            </w:r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 o la celebración </w:t>
            </w:r>
            <w:r w:rsidR="00F60D9B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en noviembre pasado </w:t>
            </w:r>
            <w:r w:rsidR="002C762F"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  <w:t xml:space="preserve">de la Semana de la Seguridad Vial Laboral, que contó con la presencia y participación de 183 empresas. </w:t>
            </w:r>
          </w:p>
          <w:p w:rsidR="00F60D9B" w:rsidRDefault="00F60D9B" w:rsidP="005C7E46">
            <w:pPr>
              <w:jc w:val="both"/>
              <w:rPr>
                <w:rFonts w:ascii="Verdana" w:eastAsiaTheme="minorHAnsi" w:hAnsi="Verdana"/>
                <w:color w:val="000000"/>
                <w:sz w:val="24"/>
                <w:szCs w:val="24"/>
                <w:lang w:eastAsia="en-US"/>
              </w:rPr>
            </w:pPr>
          </w:p>
          <w:p w:rsidR="002C762F" w:rsidRPr="00DC4569" w:rsidRDefault="002C762F" w:rsidP="005C7E46">
            <w:pPr>
              <w:pStyle w:val="Default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“</w:t>
            </w:r>
            <w:r w:rsidRPr="002C762F">
              <w:rPr>
                <w:rFonts w:ascii="Verdana" w:hAnsi="Verdana"/>
              </w:rPr>
              <w:t xml:space="preserve">Debemos sensibilizar y concienciar poniendo el foco en la empresa, </w:t>
            </w:r>
            <w:r w:rsidR="00F60D9B">
              <w:rPr>
                <w:rFonts w:ascii="Verdana" w:hAnsi="Verdana"/>
              </w:rPr>
              <w:t xml:space="preserve">en las </w:t>
            </w:r>
            <w:r w:rsidRPr="002C762F">
              <w:rPr>
                <w:rFonts w:ascii="Verdana" w:hAnsi="Verdana"/>
              </w:rPr>
              <w:t xml:space="preserve">personas que la integran y </w:t>
            </w:r>
            <w:r w:rsidR="00F60D9B">
              <w:rPr>
                <w:rFonts w:ascii="Verdana" w:hAnsi="Verdana"/>
              </w:rPr>
              <w:t xml:space="preserve">en </w:t>
            </w:r>
            <w:r w:rsidRPr="002C762F">
              <w:rPr>
                <w:rFonts w:ascii="Verdana" w:hAnsi="Verdana"/>
              </w:rPr>
              <w:t>la sociedad</w:t>
            </w:r>
            <w:r w:rsidR="005C7E46">
              <w:rPr>
                <w:rFonts w:ascii="Verdana" w:hAnsi="Verdana"/>
              </w:rPr>
              <w:t xml:space="preserve"> porque, c</w:t>
            </w:r>
            <w:r w:rsidR="005C7E46" w:rsidRPr="005C7E46">
              <w:rPr>
                <w:rFonts w:ascii="Verdana" w:hAnsi="Verdana"/>
                <w:color w:val="000000" w:themeColor="text1"/>
              </w:rPr>
              <w:t xml:space="preserve">ada dos días fallece en España una persona en un desplazamiento </w:t>
            </w:r>
            <w:r w:rsidR="005C7E46">
              <w:rPr>
                <w:rFonts w:ascii="Verdana" w:hAnsi="Verdana"/>
                <w:color w:val="000000" w:themeColor="text1"/>
              </w:rPr>
              <w:t xml:space="preserve">relacionado </w:t>
            </w:r>
            <w:r w:rsidR="005C7E46" w:rsidRPr="005C7E46">
              <w:rPr>
                <w:rFonts w:ascii="Verdana" w:hAnsi="Verdana"/>
                <w:color w:val="000000" w:themeColor="text1"/>
              </w:rPr>
              <w:t>con el trabajo</w:t>
            </w:r>
            <w:r w:rsidR="004F2730">
              <w:rPr>
                <w:rFonts w:ascii="Verdana" w:hAnsi="Verdana"/>
                <w:color w:val="000000" w:themeColor="text1"/>
              </w:rPr>
              <w:t>”</w:t>
            </w:r>
            <w:r>
              <w:rPr>
                <w:rFonts w:ascii="Verdana" w:hAnsi="Verdana"/>
              </w:rPr>
              <w:t>. Los estudios que realizamos en Fraternidad-</w:t>
            </w:r>
            <w:proofErr w:type="spellStart"/>
            <w:r>
              <w:rPr>
                <w:rFonts w:ascii="Verdana" w:hAnsi="Verdana"/>
              </w:rPr>
              <w:t>Muprespa</w:t>
            </w:r>
            <w:proofErr w:type="spellEnd"/>
            <w:r w:rsidR="004F273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reflejan que hay una me</w:t>
            </w:r>
            <w:r w:rsidRPr="002C762F">
              <w:rPr>
                <w:rFonts w:ascii="Verdana" w:hAnsi="Verdana"/>
              </w:rPr>
              <w:t>jora promedio del 8% en cómo</w:t>
            </w:r>
            <w:r w:rsidR="00F60D9B">
              <w:rPr>
                <w:rFonts w:ascii="Verdana" w:hAnsi="Verdana"/>
              </w:rPr>
              <w:t xml:space="preserve"> los participantes en los talleres </w:t>
            </w:r>
            <w:r w:rsidRPr="002C762F">
              <w:rPr>
                <w:rFonts w:ascii="Verdana" w:hAnsi="Verdana"/>
              </w:rPr>
              <w:t>creen que se comportarán</w:t>
            </w:r>
            <w:r>
              <w:rPr>
                <w:rFonts w:ascii="Verdana" w:hAnsi="Verdana"/>
              </w:rPr>
              <w:t xml:space="preserve"> al volante </w:t>
            </w:r>
            <w:r w:rsidRPr="002C762F">
              <w:rPr>
                <w:rFonts w:ascii="Verdana" w:hAnsi="Verdana"/>
              </w:rPr>
              <w:t>después</w:t>
            </w:r>
            <w:r>
              <w:rPr>
                <w:rFonts w:ascii="Verdana" w:hAnsi="Verdana"/>
              </w:rPr>
              <w:t xml:space="preserve"> </w:t>
            </w:r>
            <w:r w:rsidRPr="002C762F">
              <w:rPr>
                <w:rFonts w:ascii="Verdana" w:hAnsi="Verdana"/>
              </w:rPr>
              <w:t>de</w:t>
            </w:r>
            <w:r w:rsidR="00F60D9B">
              <w:rPr>
                <w:rFonts w:ascii="Verdana" w:hAnsi="Verdana"/>
              </w:rPr>
              <w:t xml:space="preserve"> acudir a ellos</w:t>
            </w:r>
            <w:r>
              <w:rPr>
                <w:rFonts w:ascii="Verdana" w:hAnsi="Verdana"/>
              </w:rPr>
              <w:t>. Es fundamental que haya un c</w:t>
            </w:r>
            <w:r w:rsidRPr="002C762F">
              <w:rPr>
                <w:rFonts w:ascii="Verdana" w:hAnsi="Verdana"/>
              </w:rPr>
              <w:t>ambio la percepción</w:t>
            </w:r>
            <w:r>
              <w:rPr>
                <w:rFonts w:ascii="Verdana" w:hAnsi="Verdana"/>
              </w:rPr>
              <w:t xml:space="preserve"> </w:t>
            </w:r>
            <w:r w:rsidRPr="002C762F">
              <w:rPr>
                <w:rFonts w:ascii="Verdana" w:hAnsi="Verdana"/>
              </w:rPr>
              <w:t>del riesgo</w:t>
            </w:r>
            <w:r>
              <w:rPr>
                <w:rFonts w:ascii="Verdana" w:hAnsi="Verdana"/>
              </w:rPr>
              <w:t xml:space="preserve"> </w:t>
            </w:r>
            <w:r w:rsidRPr="002C762F">
              <w:rPr>
                <w:rFonts w:ascii="Verdana" w:hAnsi="Verdana"/>
              </w:rPr>
              <w:t>para modificar</w:t>
            </w:r>
            <w:r>
              <w:rPr>
                <w:rFonts w:ascii="Verdana" w:hAnsi="Verdana"/>
              </w:rPr>
              <w:t xml:space="preserve"> el </w:t>
            </w:r>
            <w:r w:rsidRPr="002C762F">
              <w:rPr>
                <w:rFonts w:ascii="Verdana" w:hAnsi="Verdana"/>
              </w:rPr>
              <w:t>compor</w:t>
            </w:r>
            <w:r w:rsidR="005C7E46">
              <w:rPr>
                <w:rFonts w:ascii="Verdana" w:hAnsi="Verdana"/>
              </w:rPr>
              <w:t xml:space="preserve">tamiento”, aseguró durante su intervención. </w:t>
            </w:r>
          </w:p>
          <w:p w:rsidR="00D976DF" w:rsidRPr="00DC4569" w:rsidRDefault="00D976DF">
            <w:pPr>
              <w:jc w:val="both"/>
              <w:rPr>
                <w:rFonts w:ascii="Verdana" w:hAnsi="Verdana"/>
                <w:sz w:val="23"/>
                <w:szCs w:val="23"/>
              </w:rPr>
            </w:pPr>
          </w:p>
          <w:p w:rsidR="00D976DF" w:rsidRDefault="005C7E46" w:rsidP="005C7E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4264430" cy="3198324"/>
                  <wp:effectExtent l="0" t="0" r="3175" b="254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vid Revillo, durante su participación en la mesa sobre Seguridad Vial en el Trabaj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7740" cy="3215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7E46" w:rsidRDefault="005C7E46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976DF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76DF" w:rsidRDefault="00D976DF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976DF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:rsidR="00D976DF" w:rsidRDefault="00D976DF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Sobre Fraternidad-</w:t>
                        </w:r>
                        <w:proofErr w:type="spellStart"/>
                        <w:r>
                          <w:rPr>
                            <w:b/>
                          </w:rPr>
                          <w:t>Muprespa</w:t>
                        </w:r>
                        <w:proofErr w:type="spellEnd"/>
                        <w:r>
                          <w:rPr>
                            <w:b/>
                          </w:rPr>
                          <w:t>:</w:t>
                        </w:r>
                      </w:p>
                      <w:p w:rsidR="00D976DF" w:rsidRDefault="00D976DF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976DF" w:rsidRDefault="00D976DF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Tiene asociadas 123.765 empresas y 1.268.470 trabajadores, velando por ellos, una plantilla de 2.085 empleados y 122 centros asistenciales y administrativos en toda España.</w:t>
                        </w:r>
                        <w:r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976DF" w:rsidRDefault="00D976DF">
                        <w:pPr>
                          <w:spacing w:before="200"/>
                          <w:jc w:val="both"/>
                        </w:pPr>
                        <w:r>
                          <w:t>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se esfuerza por la excelencia y calidad en sus servicios, obteniendo la certificación del Sistema de Gestión de la Calidad en todos sus centros asistenciales, la </w:t>
                        </w:r>
                        <w:r>
                          <w:rPr>
                            <w:i/>
                          </w:rPr>
                          <w:t>Acreditación QH**</w:t>
                        </w:r>
                        <w:r>
                          <w:t>,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>
                          <w:rPr>
                            <w:i/>
                          </w:rPr>
                          <w:t xml:space="preserve">Sistema de Gestión Ambiental </w:t>
                        </w:r>
                        <w:r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 xml:space="preserve">Huella de Carbono. </w:t>
                        </w:r>
                      </w:p>
                      <w:p w:rsidR="00D976DF" w:rsidRDefault="00D976DF">
                        <w:pPr>
                          <w:jc w:val="both"/>
                        </w:pPr>
                      </w:p>
                      <w:p w:rsidR="00D976DF" w:rsidRDefault="00D976DF">
                        <w:pPr>
                          <w:jc w:val="both"/>
                        </w:pPr>
                        <w:r>
                          <w:t xml:space="preserve">En su compromiso ético con los derechos humanos y laborales, el empoderamiento de la Mujer y la lucha contra la corrupción, está adherida al </w:t>
                        </w:r>
                        <w:r>
                          <w:rPr>
                            <w:i/>
                          </w:rPr>
                          <w:t>Pacto Mundial de las Naciones Unidas</w:t>
                        </w:r>
                        <w:r>
                          <w:t xml:space="preserve"> desde 2011, al </w:t>
                        </w:r>
                        <w:r>
                          <w:rPr>
                            <w:i/>
                          </w:rPr>
                          <w:t>Chárter de la Diversidad</w:t>
                        </w:r>
                        <w:r>
                          <w:t xml:space="preserve"> y ha recibido el </w:t>
                        </w:r>
                        <w:r>
                          <w:rPr>
                            <w:i/>
                          </w:rPr>
                          <w:t>Distintivo de Igualdad en la Empresa</w:t>
                        </w:r>
                        <w:r>
                          <w:t xml:space="preserve"> otorgado por el Ministerio de Sanidad,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9" w:history="1">
                          <w:r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>
                          <w:t xml:space="preserve"> </w:t>
                        </w:r>
                      </w:p>
                    </w:tc>
                  </w:tr>
                  <w:tr w:rsidR="00D976DF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976DF" w:rsidRDefault="00D976DF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976DF" w:rsidRDefault="007C1F42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0" w:history="1">
                          <w:r w:rsidR="00D976DF">
                            <w:rPr>
                              <w:rStyle w:val="Hipervnculo"/>
                              <w:b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  <w:t>gabineteprensa@fraternidad.com</w:t>
                          </w:r>
                        </w:hyperlink>
                      </w:p>
                      <w:p w:rsidR="00D976DF" w:rsidRDefault="00D976DF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lastRenderedPageBreak/>
                          <w:t>C/ Cervantes, 44, 1º Izquierda. 28014, Madrid</w:t>
                        </w:r>
                      </w:p>
                    </w:tc>
                  </w:tr>
                </w:tbl>
                <w:p w:rsidR="00D976DF" w:rsidRDefault="00D976DF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D976DF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76DF" w:rsidRDefault="00D976D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D976DF" w:rsidRDefault="00D976DF">
            <w:pPr>
              <w:jc w:val="both"/>
              <w:rPr>
                <w:rFonts w:ascii="Verdana" w:hAnsi="Verdana"/>
              </w:rPr>
            </w:pPr>
          </w:p>
        </w:tc>
      </w:tr>
    </w:tbl>
    <w:p w:rsidR="00D976DF" w:rsidRDefault="00D976DF" w:rsidP="00D976DF">
      <w:pPr>
        <w:jc w:val="both"/>
      </w:pPr>
    </w:p>
    <w:p w:rsidR="00346089" w:rsidRDefault="00346089"/>
    <w:sectPr w:rsidR="003460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22A87"/>
    <w:multiLevelType w:val="hybridMultilevel"/>
    <w:tmpl w:val="90106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E4"/>
    <w:rsid w:val="00043550"/>
    <w:rsid w:val="00043FFC"/>
    <w:rsid w:val="0027713A"/>
    <w:rsid w:val="002C762F"/>
    <w:rsid w:val="002D3729"/>
    <w:rsid w:val="00346089"/>
    <w:rsid w:val="003E07E6"/>
    <w:rsid w:val="004022EE"/>
    <w:rsid w:val="004F2730"/>
    <w:rsid w:val="00523EE4"/>
    <w:rsid w:val="00587215"/>
    <w:rsid w:val="005C7E46"/>
    <w:rsid w:val="007C1F42"/>
    <w:rsid w:val="00866CA2"/>
    <w:rsid w:val="009D6958"/>
    <w:rsid w:val="00B36AF1"/>
    <w:rsid w:val="00D976DF"/>
    <w:rsid w:val="00DC4569"/>
    <w:rsid w:val="00EF4962"/>
    <w:rsid w:val="00F40374"/>
    <w:rsid w:val="00F6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6C04E-35A1-4EE3-8391-BE09EEE6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DF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D976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76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976DF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Cita">
    <w:name w:val="Quote"/>
    <w:basedOn w:val="Normal"/>
    <w:next w:val="Normal"/>
    <w:link w:val="CitaCar"/>
    <w:uiPriority w:val="9"/>
    <w:qFormat/>
    <w:rsid w:val="00D976DF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976DF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customStyle="1" w:styleId="Default">
    <w:name w:val="Default"/>
    <w:rsid w:val="00D976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0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cid:image001.png@01D20820.8DF2F01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R:\AppData\Local\jrblazquez\AppData\Local\Microsoft\Windows\Temporary%20Internet%20Files\Content.Outlook\OBQMBMQB\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72C24-D9CC-4D23-B37D-3E73298B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2020-02-26T13:44:00Z</dcterms:created>
  <dcterms:modified xsi:type="dcterms:W3CDTF">2020-02-26T13:47:00Z</dcterms:modified>
</cp:coreProperties>
</file>