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FAE" w:rsidRDefault="006E6FAE" w:rsidP="006E6FAE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E6FAE" w:rsidTr="00016421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E" w:rsidRDefault="000747D3" w:rsidP="00016421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357DC0">
              <w:rPr>
                <w:b/>
                <w:bCs/>
                <w:i/>
                <w:iCs/>
                <w:noProof/>
              </w:rPr>
              <w:fldChar w:fldCharType="begin"/>
            </w:r>
            <w:r w:rsidR="00357DC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57DC0">
              <w:rPr>
                <w:b/>
                <w:bCs/>
                <w:i/>
                <w:iCs/>
                <w:noProof/>
              </w:rPr>
              <w:fldChar w:fldCharType="separate"/>
            </w:r>
            <w:r w:rsidR="00062C1D">
              <w:rPr>
                <w:b/>
                <w:bCs/>
                <w:i/>
                <w:iCs/>
                <w:noProof/>
              </w:rPr>
              <w:fldChar w:fldCharType="begin"/>
            </w:r>
            <w:r w:rsidR="00062C1D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062C1D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062C1D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062C1D">
              <w:rPr>
                <w:b/>
                <w:bCs/>
                <w:i/>
                <w:iCs/>
                <w:noProof/>
              </w:rPr>
              <w:fldChar w:fldCharType="separate"/>
            </w:r>
            <w:r w:rsidR="00062C1D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5pt;height:40.5pt;visibility:visible">
                  <v:imagedata r:id="rId5" r:href="rId6"/>
                </v:shape>
              </w:pict>
            </w:r>
            <w:r w:rsidR="00062C1D">
              <w:rPr>
                <w:b/>
                <w:bCs/>
                <w:i/>
                <w:iCs/>
                <w:noProof/>
              </w:rPr>
              <w:fldChar w:fldCharType="end"/>
            </w:r>
            <w:r w:rsidR="00357DC0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6E6FAE" w:rsidRDefault="006E6FAE" w:rsidP="00016421">
            <w:pPr>
              <w:jc w:val="both"/>
            </w:pPr>
          </w:p>
        </w:tc>
      </w:tr>
      <w:tr w:rsidR="006E6FAE" w:rsidTr="00016421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FAE" w:rsidRDefault="006E6FAE" w:rsidP="00016421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 xml:space="preserve">NOTA </w:t>
            </w:r>
            <w:bookmarkStart w:id="0" w:name="_GoBack"/>
            <w:r w:rsidRPr="00DC5A43">
              <w:rPr>
                <w:b/>
                <w:bCs/>
                <w:color w:val="000000"/>
                <w:sz w:val="36"/>
                <w:szCs w:val="36"/>
              </w:rPr>
              <w:t xml:space="preserve">DE </w:t>
            </w:r>
            <w:bookmarkEnd w:id="0"/>
            <w:r w:rsidRPr="00DC5A43">
              <w:rPr>
                <w:b/>
                <w:bCs/>
                <w:color w:val="000000"/>
                <w:sz w:val="36"/>
                <w:szCs w:val="36"/>
              </w:rPr>
              <w:t>PRENSA</w:t>
            </w:r>
          </w:p>
        </w:tc>
      </w:tr>
      <w:tr w:rsidR="006E6FAE" w:rsidTr="00016421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FAE" w:rsidRDefault="006E6FAE" w:rsidP="000164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6FAE" w:rsidTr="00016421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E" w:rsidRDefault="006E6FAE" w:rsidP="00016421">
            <w:pPr>
              <w:autoSpaceDE w:val="0"/>
              <w:autoSpaceDN w:val="0"/>
              <w:jc w:val="both"/>
            </w:pPr>
          </w:p>
        </w:tc>
      </w:tr>
      <w:tr w:rsidR="006E6FAE" w:rsidTr="00016421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FAE" w:rsidRPr="00410C8B" w:rsidRDefault="00062C1D" w:rsidP="00016421">
            <w:pPr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proofErr w:type="spellStart"/>
            <w:r w:rsidR="006E6FAE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="006E6FAE">
              <w:rPr>
                <w:rFonts w:ascii="Verdana" w:hAnsi="Verdana"/>
                <w:b/>
                <w:color w:val="00B050"/>
                <w:sz w:val="24"/>
                <w:szCs w:val="24"/>
              </w:rPr>
              <w:t>, 19.000m</w:t>
            </w:r>
            <w:r w:rsidR="006E6FAE" w:rsidRPr="00062C1D">
              <w:rPr>
                <w:rFonts w:ascii="Verdana" w:hAnsi="Verdana"/>
                <w:b/>
                <w:color w:val="00B050"/>
                <w:sz w:val="24"/>
                <w:szCs w:val="24"/>
                <w:vertAlign w:val="superscript"/>
              </w:rPr>
              <w:t>2</w:t>
            </w:r>
            <w:r w:rsidR="006E6FAE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de accesibilidad total en su red de centros asistenciales</w:t>
            </w:r>
          </w:p>
        </w:tc>
      </w:tr>
      <w:tr w:rsidR="006E6FAE" w:rsidTr="00016421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FAE" w:rsidRDefault="006E6FAE" w:rsidP="000164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6FAE" w:rsidTr="00016421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E" w:rsidRDefault="006E6FAE" w:rsidP="00016421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6E6FAE" w:rsidRPr="00856415" w:rsidRDefault="006E6FAE" w:rsidP="00016421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26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junio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6E6FAE" w:rsidRDefault="006E6FAE" w:rsidP="00016421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6E6FAE" w:rsidRDefault="006E6FAE" w:rsidP="006E6FAE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 motivo de la celebración del Día Internacional de las personas </w:t>
            </w:r>
            <w:proofErr w:type="spellStart"/>
            <w:r>
              <w:rPr>
                <w:rFonts w:ascii="Verdana" w:hAnsi="Verdana"/>
              </w:rPr>
              <w:t>sordociegas</w:t>
            </w:r>
            <w:proofErr w:type="spellEnd"/>
            <w:r>
              <w:rPr>
                <w:rFonts w:ascii="Verdana" w:hAnsi="Verdana"/>
              </w:rPr>
              <w:t>, la Mutua hace balance de sus centros certificados con accesibilidad total para personas con capacidades diferentes.</w:t>
            </w: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Fraternidad-</w:t>
            </w:r>
            <w:proofErr w:type="spellStart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Muprespa</w:t>
            </w:r>
            <w:proofErr w:type="spellEnd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, </w:t>
            </w:r>
            <w:r w:rsid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Mutua Colaboradora con la Seguridad Social,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en su compromiso constante con la defe</w:t>
            </w:r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nsa de los derechos de personas con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capacidades diferentes</w:t>
            </w: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,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viene certificando desde hace cinco años que sus centros asistenciales sean accesibles para todos, algo que cobra mayor importancia y relevancia en jornadas como la que se celebra este sábado, el </w:t>
            </w: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D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ía </w:t>
            </w: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I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nternacion</w:t>
            </w: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al de las personas </w:t>
            </w:r>
            <w:proofErr w:type="spellStart"/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sordociegas</w:t>
            </w:r>
            <w:proofErr w:type="spellEnd"/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E6FAE" w:rsidRPr="009328DD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En la actualidad Fraternidad-</w:t>
            </w:r>
            <w:proofErr w:type="spellStart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Muprespa</w:t>
            </w:r>
            <w:proofErr w:type="spellEnd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cuenta con 90 centros asistenciales auditados. Ocho de ellos </w:t>
            </w:r>
            <w:r w:rsidR="00D23C5B"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con</w:t>
            </w:r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la máxima puntuación</w:t>
            </w: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,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la </w:t>
            </w:r>
            <w:r w:rsidRPr="009328DD">
              <w:rPr>
                <w:rFonts w:ascii="Verdana" w:eastAsia="Times New Roman" w:hAnsi="Verdana" w:cs="Arial"/>
                <w:b/>
                <w:sz w:val="24"/>
                <w:szCs w:val="24"/>
                <w:shd w:val="clear" w:color="auto" w:fill="FFFFFF"/>
              </w:rPr>
              <w:t>certificación AIS 1/2018 5 estrellas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. Se trata de los centros asistenciales de </w:t>
            </w: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 xml:space="preserve">Vitoria, Córdoba, Palma de Mallorca, </w:t>
            </w:r>
            <w:proofErr w:type="spellStart"/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>Ripollet</w:t>
            </w:r>
            <w:proofErr w:type="spellEnd"/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>, Lorca, Arrecife y Gijón, además del Hospital Fraternidad-</w:t>
            </w:r>
            <w:proofErr w:type="spellStart"/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>Muprespa</w:t>
            </w:r>
            <w:proofErr w:type="spellEnd"/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 xml:space="preserve"> Habana. </w:t>
            </w: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>En total, 19.000m2 de accesibilidad completamente indepe</w:t>
            </w:r>
            <w:r w:rsidRPr="00967CBB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>n</w:t>
            </w: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 xml:space="preserve">diente para personas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 con capacidades diferentes.</w:t>
            </w:r>
          </w:p>
          <w:p w:rsidR="006E6FAE" w:rsidRPr="009328DD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:rsidR="006E6FAE" w:rsidRPr="009328DD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Tahoma"/>
                <w:sz w:val="24"/>
                <w:szCs w:val="24"/>
              </w:rPr>
            </w:pP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La Mutua determinó </w:t>
            </w:r>
            <w:r w:rsid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estos estándares sometiéndose a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auditoría</w:t>
            </w:r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s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para medir el grado de accesibilidad de cada centro. Para ello se contó con la colaboración de la </w:t>
            </w: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 xml:space="preserve">Fundación para la Accesibilidad y Responsabilidad Social </w:t>
            </w:r>
            <w:r w:rsidR="00D23C5B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 xml:space="preserve">(antes </w:t>
            </w:r>
            <w:r w:rsidRPr="009328DD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 xml:space="preserve">Fundación </w:t>
            </w:r>
            <w:proofErr w:type="spellStart"/>
            <w:r w:rsidRPr="009328DD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>Shangri</w:t>
            </w:r>
            <w:proofErr w:type="spellEnd"/>
            <w:r w:rsidRPr="009328DD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>-la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), que desarrolló un sistema de medición del grado de accesibilidad, denominado </w:t>
            </w:r>
            <w:r w:rsidRPr="009328DD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>DIGA (Distintivo Indicador del Grado de Accesibilidad)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 y que a partir de 2018 pasó a denominarse </w:t>
            </w: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 xml:space="preserve">Indicador de Accesibilidad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(</w:t>
            </w: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>AIS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).</w:t>
            </w: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La revisión de los centros en materia de accesibilid</w:t>
            </w:r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ad se realizó con el aval de la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Certificadora Internacional IMQ (</w:t>
            </w:r>
            <w:proofErr w:type="spellStart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Istituto</w:t>
            </w:r>
            <w:proofErr w:type="spellEnd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Italiano del </w:t>
            </w:r>
            <w:proofErr w:type="spellStart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Marchio</w:t>
            </w:r>
            <w:proofErr w:type="spellEnd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Qualita</w:t>
            </w:r>
            <w:proofErr w:type="spellEnd"/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), que analizó todos los centros de acuerdo a las especificaciones técnicas del sistema.</w:t>
            </w:r>
          </w:p>
          <w:p w:rsidR="006E6FAE" w:rsidRPr="009328DD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Tahoma"/>
                <w:sz w:val="24"/>
                <w:szCs w:val="24"/>
              </w:rPr>
            </w:pP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La Mutua </w:t>
            </w:r>
            <w:r w:rsidRPr="009328DD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>trabaja</w:t>
            </w:r>
            <w:r w:rsidRPr="009328DD">
              <w:rPr>
                <w:rFonts w:ascii="Verdana" w:eastAsia="Times New Roman" w:hAnsi="Verdana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67CBB">
              <w:rPr>
                <w:rFonts w:ascii="Verdana" w:eastAsia="Times New Roman" w:hAnsi="Verdana" w:cs="Arial"/>
                <w:bCs/>
                <w:sz w:val="24"/>
                <w:szCs w:val="24"/>
                <w:shd w:val="clear" w:color="auto" w:fill="FFFFFF"/>
              </w:rPr>
              <w:t xml:space="preserve">de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modo continuo, con</w:t>
            </w: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la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revisión anual de todos ellos, para garantizar el mantenimiento de las condiciones certificadas.</w:t>
            </w: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Entre las características más destacadas con las que cuenta un centro certificado con 5 estrellas destacan los accesos adaptados y señalizados, los puntos de atención accesible con bucle magnético, señalización con macro</w:t>
            </w:r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caracteres en alto relieve y escritura Braille, así como con aseos y vestuarios adaptados. En el caso</w:t>
            </w:r>
            <w:r w:rsidRPr="00D23C5B">
              <w:rPr>
                <w:rFonts w:ascii="Verdana" w:eastAsia="Times New Roman" w:hAnsi="Verdana" w:cs="Arial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del </w:t>
            </w:r>
            <w:r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Hospital</w:t>
            </w:r>
            <w:r w:rsidR="00D23C5B"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Fraternidad-</w:t>
            </w:r>
            <w:proofErr w:type="spellStart"/>
            <w:r w:rsidR="00D23C5B"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Muprespa</w:t>
            </w:r>
            <w:proofErr w:type="spellEnd"/>
            <w:r w:rsidR="00D23C5B"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Habana</w:t>
            </w:r>
            <w:r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, ést</w:t>
            </w:r>
            <w:r w:rsidR="00D23C5B"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e</w:t>
            </w:r>
            <w:r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t</w:t>
            </w:r>
            <w:r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ambién</w:t>
            </w:r>
            <w:r w:rsidR="00D23C5B"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completamente accesible</w:t>
            </w:r>
            <w:r w:rsidRPr="00357DC0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.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</w:pP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  <w:r w:rsidRPr="00967CB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S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e han</w:t>
            </w:r>
            <w:r w:rsidRPr="009328DD">
              <w:rPr>
                <w:rFonts w:ascii="Verdana" w:eastAsia="Times New Roman" w:hAnsi="Verdana" w:cs="Arial"/>
                <w:sz w:val="24"/>
                <w:szCs w:val="24"/>
              </w:rPr>
              <w:t xml:space="preserve"> integrado criterios de diversidad funcional física, sensitiva y cognitiva, para que cualquier persona pueda desplazarse con comodidad, seguridad y </w:t>
            </w:r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usabilidad. Fraternidad-</w:t>
            </w:r>
            <w:proofErr w:type="spellStart"/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Muprespa</w:t>
            </w:r>
            <w:proofErr w:type="spellEnd"/>
            <w:r w:rsidR="00D23C5B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 xml:space="preserve">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  <w:shd w:val="clear" w:color="auto" w:fill="FFFFFF"/>
              </w:rPr>
              <w:t>no sólo ha</w:t>
            </w:r>
            <w:r w:rsidRPr="009328DD">
              <w:rPr>
                <w:rFonts w:ascii="Verdana" w:eastAsia="Times New Roman" w:hAnsi="Verdana" w:cs="Arial"/>
                <w:sz w:val="24"/>
                <w:szCs w:val="24"/>
              </w:rPr>
              <w:t xml:space="preserve"> integrado la excelencia en accesibilidad en sus actuales inmuebles, si</w:t>
            </w:r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 xml:space="preserve">no también en </w:t>
            </w:r>
            <w:r w:rsidR="00D23C5B" w:rsidRPr="00357DC0">
              <w:rPr>
                <w:rFonts w:ascii="Verdana" w:eastAsia="Times New Roman" w:hAnsi="Verdana" w:cs="Arial"/>
                <w:sz w:val="24"/>
                <w:szCs w:val="24"/>
              </w:rPr>
              <w:t>todos</w:t>
            </w:r>
            <w:r w:rsidR="00D23C5B">
              <w:rPr>
                <w:rFonts w:ascii="Verdana" w:eastAsia="Times New Roman" w:hAnsi="Verdana" w:cs="Arial"/>
                <w:sz w:val="24"/>
                <w:szCs w:val="24"/>
              </w:rPr>
              <w:t xml:space="preserve"> </w:t>
            </w:r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 xml:space="preserve">los que proyecta, obteniendo el reconocimiento expreso y una valoración muy positiva por parte de </w:t>
            </w:r>
            <w:r w:rsidRPr="009328DD">
              <w:rPr>
                <w:rFonts w:ascii="Verdana" w:eastAsia="Times New Roman" w:hAnsi="Verdana" w:cs="Arial"/>
                <w:sz w:val="24"/>
                <w:szCs w:val="24"/>
              </w:rPr>
              <w:t xml:space="preserve">asociaciones de discapacitados a quienes se ha invitado a conocer estos centros. </w:t>
            </w:r>
          </w:p>
          <w:p w:rsidR="006E6FAE" w:rsidRPr="00967CBB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Arial"/>
                <w:sz w:val="24"/>
                <w:szCs w:val="24"/>
              </w:rPr>
            </w:pPr>
          </w:p>
          <w:p w:rsidR="006E6FAE" w:rsidRPr="009328DD" w:rsidRDefault="006E6FAE" w:rsidP="00016421">
            <w:pPr>
              <w:shd w:val="clear" w:color="auto" w:fill="FFFFFF"/>
              <w:jc w:val="both"/>
              <w:rPr>
                <w:rFonts w:ascii="Verdana" w:eastAsia="Times New Roman" w:hAnsi="Verdana" w:cs="Tahoma"/>
                <w:sz w:val="24"/>
                <w:szCs w:val="24"/>
              </w:rPr>
            </w:pPr>
            <w:r w:rsidRPr="00967CBB">
              <w:rPr>
                <w:rFonts w:ascii="Verdana" w:eastAsia="Times New Roman" w:hAnsi="Verdana" w:cs="Arial"/>
                <w:b/>
                <w:sz w:val="24"/>
                <w:szCs w:val="24"/>
              </w:rPr>
              <w:t>Carlos Aranda</w:t>
            </w:r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>, director gerente de Fraternidad-</w:t>
            </w:r>
            <w:proofErr w:type="spellStart"/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>Muprespa</w:t>
            </w:r>
            <w:proofErr w:type="spellEnd"/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>, destacaba el pasado año, cuando el Hospital Fraternidad-</w:t>
            </w:r>
            <w:proofErr w:type="spellStart"/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>Muprespa</w:t>
            </w:r>
            <w:proofErr w:type="spellEnd"/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 xml:space="preserve"> Habana recibió la </w:t>
            </w:r>
            <w:r w:rsidR="000747D3" w:rsidRPr="00967CBB">
              <w:rPr>
                <w:rFonts w:ascii="Verdana" w:eastAsia="Times New Roman" w:hAnsi="Verdana" w:cs="Arial"/>
                <w:sz w:val="24"/>
                <w:szCs w:val="24"/>
              </w:rPr>
              <w:t>certificación</w:t>
            </w:r>
            <w:r w:rsidRPr="00967CBB">
              <w:rPr>
                <w:rFonts w:ascii="Verdana" w:eastAsia="Times New Roman" w:hAnsi="Verdana" w:cs="Arial"/>
                <w:sz w:val="24"/>
                <w:szCs w:val="24"/>
              </w:rPr>
              <w:t>, que “en nuestros centros asistenciales se prima, además de la sostenibilidad y la digitalización, la accesibilidad, algo que cobra especial importancia en los centros sanitarios porque mejora la autonomía de los pacientes y facilita la asistencia por parte del personal.”</w:t>
            </w:r>
          </w:p>
          <w:p w:rsidR="00357DC0" w:rsidRDefault="00357DC0" w:rsidP="000164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57DC0" w:rsidRDefault="00357DC0" w:rsidP="000164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57DC0" w:rsidRDefault="00357DC0" w:rsidP="000164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57DC0" w:rsidRDefault="00357DC0" w:rsidP="00016421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57DC0" w:rsidRDefault="00357DC0" w:rsidP="0001642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5038725" cy="336073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ta-prensa-Fraternidad-Muprespa-DIGA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7416" cy="3366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6FAE" w:rsidRDefault="006E6FAE" w:rsidP="00357DC0">
            <w:pPr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6E6FAE" w:rsidTr="00016421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FAE" w:rsidRDefault="006E6FAE" w:rsidP="00016421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6E6FAE" w:rsidRPr="00E30068" w:rsidTr="00016421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6E6FAE" w:rsidRDefault="006E6FAE" w:rsidP="00016421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6E6FAE" w:rsidRPr="00E30068" w:rsidRDefault="006E6FAE" w:rsidP="00016421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6E6FAE" w:rsidRPr="002528D8" w:rsidRDefault="006E6FAE" w:rsidP="00016421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6E6FAE" w:rsidRPr="00AC5C50" w:rsidRDefault="006E6FAE" w:rsidP="00016421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6E6FAE" w:rsidRDefault="006E6FAE" w:rsidP="00016421">
                        <w:pPr>
                          <w:jc w:val="both"/>
                        </w:pPr>
                      </w:p>
                      <w:p w:rsidR="006E6FAE" w:rsidRDefault="006E6FAE" w:rsidP="00016421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8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6E6FAE" w:rsidRPr="00E30068" w:rsidRDefault="006E6FAE" w:rsidP="00016421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6E6FAE" w:rsidRPr="00E30068" w:rsidTr="00016421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6E6FAE" w:rsidRPr="00E30068" w:rsidRDefault="006E6FAE" w:rsidP="00016421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6E6FAE" w:rsidRPr="00E30068" w:rsidRDefault="00062C1D" w:rsidP="00016421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9" w:history="1">
                          <w:r w:rsidR="006E6FAE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6E6FAE" w:rsidRPr="00E30068" w:rsidRDefault="006E6FAE" w:rsidP="00016421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6E6FAE" w:rsidRDefault="006E6FAE" w:rsidP="00016421">
                  <w:pPr>
                    <w:jc w:val="both"/>
                  </w:pPr>
                </w:p>
              </w:tc>
            </w:tr>
            <w:tr w:rsidR="006E6FAE" w:rsidTr="00016421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E6FAE" w:rsidRDefault="006E6FAE" w:rsidP="00016421">
                  <w:pPr>
                    <w:jc w:val="both"/>
                  </w:pPr>
                </w:p>
              </w:tc>
            </w:tr>
          </w:tbl>
          <w:p w:rsidR="006E6FAE" w:rsidRPr="00530184" w:rsidRDefault="006E6FAE" w:rsidP="00016421">
            <w:pPr>
              <w:jc w:val="both"/>
              <w:rPr>
                <w:rFonts w:ascii="Verdana" w:hAnsi="Verdana"/>
              </w:rPr>
            </w:pPr>
          </w:p>
        </w:tc>
      </w:tr>
    </w:tbl>
    <w:p w:rsidR="006E6FAE" w:rsidRDefault="006E6FAE" w:rsidP="006E6FAE">
      <w:pPr>
        <w:jc w:val="both"/>
      </w:pPr>
    </w:p>
    <w:p w:rsidR="0000155A" w:rsidRDefault="00062C1D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BB"/>
    <w:rsid w:val="00062C1D"/>
    <w:rsid w:val="000747D3"/>
    <w:rsid w:val="0008058B"/>
    <w:rsid w:val="00357DC0"/>
    <w:rsid w:val="006E6FAE"/>
    <w:rsid w:val="00765F28"/>
    <w:rsid w:val="00A5142A"/>
    <w:rsid w:val="00B720BB"/>
    <w:rsid w:val="00D15041"/>
    <w:rsid w:val="00D2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648554-53D3-4BAE-B396-C3F0A726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FAE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E6FAE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6E6FAE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6E6FAE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6E6FAE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customStyle="1" w:styleId="text-align-justify">
    <w:name w:val="text-align-justify"/>
    <w:basedOn w:val="Normal"/>
    <w:rsid w:val="006E6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maquesada\AppData\Local\Microsoft\Windows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Usuario de Windows</cp:lastModifiedBy>
  <cp:revision>3</cp:revision>
  <dcterms:created xsi:type="dcterms:W3CDTF">2020-06-26T13:01:00Z</dcterms:created>
  <dcterms:modified xsi:type="dcterms:W3CDTF">2020-06-26T13:05:00Z</dcterms:modified>
</cp:coreProperties>
</file>