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9"/>
      </w:tblGrid>
      <w:tr w:rsidR="008F6071" w14:paraId="04946B54" w14:textId="77777777" w:rsidTr="008F6071">
        <w:trPr>
          <w:trHeight w:val="799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6611" w14:textId="01F0A524" w:rsidR="008F6071" w:rsidRDefault="00226A52">
            <w:pPr>
              <w:jc w:val="center"/>
            </w:pPr>
            <w:r>
              <w:rPr>
                <w:b/>
                <w:i/>
                <w:noProof/>
              </w:rPr>
              <w:drawing>
                <wp:inline distT="0" distB="0" distL="0" distR="0" wp14:anchorId="75FE2BDF" wp14:editId="599D486F">
                  <wp:extent cx="1968500" cy="52070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71" w14:paraId="331E9CB3" w14:textId="77777777" w:rsidTr="008F6071">
        <w:trPr>
          <w:trHeight w:val="126"/>
          <w:jc w:val="center"/>
        </w:trPr>
        <w:tc>
          <w:tcPr>
            <w:tcW w:w="9559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1E20" w14:textId="77777777" w:rsidR="008F6071" w:rsidRDefault="008F6071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8F6071" w14:paraId="79D30B28" w14:textId="77777777" w:rsidTr="008F6071">
        <w:trPr>
          <w:trHeight w:val="126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4828" w14:textId="77777777" w:rsidR="008F6071" w:rsidRDefault="008F6071">
            <w:pPr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8F6071" w14:paraId="6D428ADE" w14:textId="77777777" w:rsidTr="008F6071">
        <w:trPr>
          <w:trHeight w:val="126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FB90" w14:textId="77777777" w:rsidR="008F6071" w:rsidRDefault="008F6071">
            <w:pPr>
              <w:spacing w:after="0" w:line="240" w:lineRule="auto"/>
              <w:ind w:left="357"/>
              <w:jc w:val="center"/>
              <w:rPr>
                <w:rFonts w:ascii="Verdana" w:hAnsi="Verdana"/>
                <w:b/>
                <w:color w:val="00B050"/>
                <w:sz w:val="32"/>
                <w:szCs w:val="32"/>
              </w:rPr>
            </w:pPr>
            <w:r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Eduardo Castro dirigirá el nuevo departamento de Operaciones Digitales de Fraternidad-Muprespa </w:t>
            </w:r>
          </w:p>
        </w:tc>
      </w:tr>
      <w:tr w:rsidR="008F6071" w14:paraId="3523CE53" w14:textId="77777777" w:rsidTr="008F6071">
        <w:trPr>
          <w:trHeight w:val="126"/>
          <w:jc w:val="center"/>
        </w:trPr>
        <w:tc>
          <w:tcPr>
            <w:tcW w:w="9559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5266" w14:textId="77777777" w:rsidR="008F6071" w:rsidRDefault="008F6071">
            <w:pPr>
              <w:rPr>
                <w:rFonts w:ascii="Verdana" w:hAnsi="Verdana"/>
                <w:b/>
                <w:color w:val="00B050"/>
                <w:sz w:val="32"/>
                <w:szCs w:val="32"/>
              </w:rPr>
            </w:pPr>
          </w:p>
        </w:tc>
      </w:tr>
      <w:tr w:rsidR="008F6071" w14:paraId="3AC4099F" w14:textId="77777777" w:rsidTr="008F6071">
        <w:trPr>
          <w:trHeight w:val="8970"/>
          <w:jc w:val="center"/>
        </w:trPr>
        <w:tc>
          <w:tcPr>
            <w:tcW w:w="9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13A1" w14:textId="45D01827" w:rsidR="008F6071" w:rsidRPr="00440862" w:rsidRDefault="00440862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10 </w:t>
            </w:r>
            <w:r w:rsidR="008F607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 febrero de 2026</w:t>
            </w:r>
          </w:p>
          <w:p w14:paraId="0C90DA4A" w14:textId="4EF2BF20" w:rsidR="008F6071" w:rsidRDefault="00226A52" w:rsidP="008F6071">
            <w:pPr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Eduardo </w:t>
            </w:r>
            <w:r w:rsidR="008F6071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Castro, que tiene más de veinte años de experiencia en la Mutua, aporta un profundo conocimiento para liderar este proyecto, cuyo objetivo es 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 xml:space="preserve">aplicar las nuevas tecnologías (IA, RPA…) en los procesos clave de la entidad, para </w:t>
            </w:r>
            <w:r w:rsidR="008F6071"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mejorar el servicio ofrecido al mutualista</w:t>
            </w:r>
          </w:p>
          <w:p w14:paraId="2C12F158" w14:textId="519B1726" w:rsidR="008F6071" w:rsidRDefault="008F607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Fraternidad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  <w:t xml:space="preserve">Muprespa ha nombrado a 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es-ES"/>
              </w:rPr>
              <w:t>Eduardo Castro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nuevo director del Departamento de Operaciones Digitales, una unidad estratégica creada para impulsar la eficiencia operativa de la entidad mediante la digitalización, estandarización y optimización de procesos clave.</w:t>
            </w:r>
          </w:p>
          <w:p w14:paraId="6DC19A1A" w14:textId="36A491DB" w:rsidR="008F6071" w:rsidRDefault="008F607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Ingeniero Técnico Industrial por la Universidad Politécnica de Madrid, Castro </w:t>
            </w:r>
            <w:r w:rsidR="00226A5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se incorporó a 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Fraternidad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  <w:t>Muprespa en 200</w:t>
            </w:r>
            <w:r w:rsidR="00226A52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2. Ha estado ligado a las áreas de Sistemas de Información y de Prestaciones, departamento que ha dirigido desde 2011 hasta el pasado </w:t>
            </w:r>
            <w:r w:rsidR="00124E36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mes de </w:t>
            </w:r>
            <w:r w:rsidR="00226A52">
              <w:rPr>
                <w:rFonts w:ascii="Verdana" w:eastAsia="Times New Roman" w:hAnsi="Verdana"/>
                <w:sz w:val="24"/>
                <w:szCs w:val="24"/>
                <w:lang w:eastAsia="es-ES"/>
              </w:rPr>
              <w:t>enero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.</w:t>
            </w:r>
          </w:p>
          <w:p w14:paraId="3741CF2E" w14:textId="77777777" w:rsidR="008F6071" w:rsidRDefault="008F6071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b/>
                <w:bCs/>
                <w:color w:val="00B050"/>
                <w:sz w:val="24"/>
                <w:szCs w:val="24"/>
                <w:lang w:eastAsia="es-ES"/>
              </w:rPr>
              <w:t>Un departamento clave para el futuro digital de la Mutua</w:t>
            </w:r>
          </w:p>
          <w:p w14:paraId="72B5FBBD" w14:textId="77777777" w:rsidR="008F6071" w:rsidRDefault="008F607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La creación del Departamento de Operaciones Digitales responde al compromiso de Fraternidad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noBreakHyphen/>
              <w:t>Muprespa con la innovación tecnológica y la mejora continua, en un contexto marcado por la necesidad de gestionar más procesos con los mismos recursos, lo que convierte a la digitalización en elemento imprescindible para reforzar la eficiencia y la calidad del servicio.</w:t>
            </w:r>
          </w:p>
          <w:p w14:paraId="0D2D7BC7" w14:textId="77777777" w:rsidR="008F6071" w:rsidRDefault="008F607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El departamento ya trabaja en el análisis de diversos procesos, entre ellos, los que tienen un mayor impacto en las áreas de Contabilidad y Prestaciones.</w:t>
            </w:r>
          </w:p>
          <w:p w14:paraId="24F24C39" w14:textId="46455F15" w:rsidR="008F6071" w:rsidRDefault="008F6071">
            <w:pPr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Castro describió que cada vez es mayor el nivel de automatización en la comunicación con las diferentes administraciones</w:t>
            </w:r>
            <w:r w:rsidR="00124E36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, 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y</w:t>
            </w:r>
            <w:r w:rsidR="00124E36">
              <w:rPr>
                <w:rFonts w:ascii="Verdana" w:eastAsia="Times New Roman" w:hAnsi="Verdana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la robotización contribuirá a contar con una visión homogénea de los procesos y facilitará la toma de decisiones. “</w:t>
            </w:r>
            <w:r>
              <w:rPr>
                <w:rFonts w:ascii="Verdana" w:eastAsia="Times New Roman" w:hAnsi="Verdana"/>
                <w:i/>
                <w:iCs/>
                <w:sz w:val="24"/>
                <w:szCs w:val="24"/>
                <w:lang w:eastAsia="es-ES"/>
              </w:rPr>
              <w:t>La inteligencia artificial debe ayudarnos a aglutinar y empaquetar la información, proponiendo opciones que faciliten la toma de decisión a los gestores</w:t>
            </w: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”, ha afirmado.</w:t>
            </w:r>
          </w:p>
          <w:p w14:paraId="7E62F2C1" w14:textId="4DC70118" w:rsidR="008F6071" w:rsidRPr="008F6071" w:rsidRDefault="008F6071">
            <w:pPr>
              <w:jc w:val="both"/>
              <w:rPr>
                <w:rFonts w:ascii="Verdana" w:eastAsia="Times New Roman" w:hAnsi="Verdana"/>
                <w:sz w:val="24"/>
                <w:szCs w:val="24"/>
                <w:lang w:eastAsia="es-ES"/>
              </w:rPr>
            </w:pPr>
            <w:r w:rsidRPr="008F6071">
              <w:rPr>
                <w:rFonts w:ascii="Verdana" w:eastAsia="Times New Roman" w:hAnsi="Verdana"/>
                <w:sz w:val="24"/>
                <w:szCs w:val="24"/>
                <w:lang w:eastAsia="es-ES"/>
              </w:rPr>
              <w:lastRenderedPageBreak/>
              <w:t>Fraternidad-Muprespa, mutua de referencia por su liderazgo tecnológico, impulsa este nuevo departamento sobre la base de una sólida combinación de conocimiento del negocio y capacidad digital.</w:t>
            </w:r>
          </w:p>
          <w:p w14:paraId="3507E454" w14:textId="77777777" w:rsidR="008F6071" w:rsidRDefault="008F6071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es-ES"/>
              </w:rPr>
              <w:t>Desde la Gerencia de Fraternidad-Muprespa se considera que esta decisión refuerza el compromiso de la entidad con una gestión orientada al servicio público, convencidos de que la integración del conocimiento del negocio y las capacidades digitales permitirá seguir avanzando en la calidad, agilidad y eficacia de la atención prestada a los mutualistas y a las personas trabajadoras protegidas, en coherencia con los valores y la misión de la Mutua.</w:t>
            </w:r>
          </w:p>
          <w:p w14:paraId="0ACF3B11" w14:textId="77777777" w:rsidR="008F6071" w:rsidRDefault="008F6071">
            <w:pPr>
              <w:pStyle w:val="Prrafodelista"/>
              <w:spacing w:after="0" w:line="240" w:lineRule="auto"/>
              <w:ind w:left="360"/>
              <w:jc w:val="both"/>
              <w:rPr>
                <w:b/>
              </w:rPr>
            </w:pPr>
          </w:p>
          <w:p w14:paraId="4B19B8C4" w14:textId="7F6AA072" w:rsidR="008F6071" w:rsidRDefault="00226A52" w:rsidP="008F6071">
            <w:pPr>
              <w:pStyle w:val="Prrafodelista"/>
              <w:spacing w:after="0" w:line="240" w:lineRule="auto"/>
              <w:ind w:left="36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E5FFBA" wp14:editId="07FC0F41">
                  <wp:extent cx="2882900" cy="3314700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21CE2" w14:textId="77777777" w:rsidR="008F6071" w:rsidRDefault="008F6071">
            <w:pPr>
              <w:jc w:val="center"/>
              <w:rPr>
                <w:rFonts w:ascii="Verdana" w:hAnsi="Verdana" w:cs="Verdana"/>
                <w:color w:val="000000"/>
                <w:sz w:val="24"/>
                <w:szCs w:val="24"/>
                <w:lang w:eastAsia="es-ES"/>
              </w:rPr>
            </w:pPr>
          </w:p>
          <w:p w14:paraId="2312C5E1" w14:textId="77777777" w:rsidR="00440862" w:rsidRDefault="008F607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Eduardo Castro </w:t>
            </w:r>
          </w:p>
          <w:p w14:paraId="6303683C" w14:textId="223DFEEA" w:rsidR="008F6071" w:rsidRDefault="008F607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Etiquetas: dirección, digitalización, prestaciones, IA, procesos</w:t>
            </w:r>
          </w:p>
          <w:p w14:paraId="3F6916FF" w14:textId="77777777" w:rsidR="00440862" w:rsidRDefault="0044086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8F6071" w14:paraId="253B8988" w14:textId="77777777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C2A8EE" w14:textId="77777777" w:rsidR="008F6071" w:rsidRDefault="008F607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Sobre Fraternidad-Muprespa: </w:t>
                  </w:r>
                </w:p>
                <w:p w14:paraId="0AD771DB" w14:textId="77777777" w:rsidR="008F6071" w:rsidRDefault="008F607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</w:t>
                  </w:r>
                  <w:proofErr w:type="spellStart"/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>nº</w:t>
                  </w:r>
                  <w:proofErr w:type="spellEnd"/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 275, tiene por actividad el tratamiento integral de los accidentes de trabajo y enfermedades profesionales, en su vertiente económica, sanitaria, recuperadora y preventiva.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Tiene asociadas 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>119.134 empresas y 1.576.453 trabajadores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, velando por ellos, una plantilla de 2.179 empleados y 115 centros asistenciales y administrativos en toda España.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14:paraId="0637854D" w14:textId="77777777" w:rsidR="008F6071" w:rsidRDefault="008F6071">
                  <w:pPr>
                    <w:rPr>
                      <w:sz w:val="8"/>
                      <w:lang w:eastAsia="ja-JP"/>
                    </w:rPr>
                  </w:pPr>
                  <w:r>
                    <w:rPr>
                      <w:sz w:val="8"/>
                      <w:lang w:eastAsia="ja-JP"/>
                    </w:rPr>
                    <w:t xml:space="preserve">   </w:t>
                  </w:r>
                </w:p>
                <w:p w14:paraId="1B018AEE" w14:textId="77777777" w:rsidR="008F6071" w:rsidRDefault="00440862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8F6071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</w:tc>
            </w:tr>
            <w:tr w:rsidR="008F6071" w14:paraId="0DED841C" w14:textId="77777777">
              <w:trPr>
                <w:trHeight w:val="240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17DB4D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14:paraId="46452251" w14:textId="77777777" w:rsidR="008F6071" w:rsidRDefault="00440862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9" w:history="1">
                    <w:r w:rsidR="008F6071">
                      <w:rPr>
                        <w:rStyle w:val="Hipervnculo"/>
                        <w:b/>
                        <w:bCs/>
                        <w:color w:val="auto"/>
                        <w:sz w:val="18"/>
                        <w:szCs w:val="18"/>
                        <w:u w:val="none"/>
                      </w:rPr>
                      <w:t>gabineteprensa@fraternidad.com</w:t>
                    </w:r>
                  </w:hyperlink>
                </w:p>
                <w:p w14:paraId="65425551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14:paraId="3CCFE0BD" w14:textId="77777777" w:rsidR="008F6071" w:rsidRDefault="008F6071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BF1EAA7" w14:textId="77777777" w:rsidR="008F6071" w:rsidRDefault="008F6071">
            <w:pPr>
              <w:jc w:val="both"/>
              <w:rPr>
                <w:rFonts w:ascii="Verdana" w:hAnsi="Verdana" w:cs="Calibri"/>
              </w:rPr>
            </w:pPr>
          </w:p>
        </w:tc>
      </w:tr>
    </w:tbl>
    <w:p w14:paraId="0DB1E378" w14:textId="77777777" w:rsidR="008F6071" w:rsidRDefault="008F6071" w:rsidP="008F6071"/>
    <w:p w14:paraId="7C7029BD" w14:textId="77777777" w:rsidR="0006352E" w:rsidRPr="008F6071" w:rsidRDefault="0006352E" w:rsidP="008F6071"/>
    <w:sectPr w:rsidR="0006352E" w:rsidRPr="008F6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609"/>
    <w:multiLevelType w:val="hybridMultilevel"/>
    <w:tmpl w:val="CA001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1369"/>
    <w:multiLevelType w:val="hybridMultilevel"/>
    <w:tmpl w:val="B15C9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6D18"/>
    <w:multiLevelType w:val="hybridMultilevel"/>
    <w:tmpl w:val="231AF1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795B"/>
    <w:multiLevelType w:val="multilevel"/>
    <w:tmpl w:val="F53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5394E"/>
    <w:multiLevelType w:val="hybridMultilevel"/>
    <w:tmpl w:val="13502E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66A3"/>
    <w:multiLevelType w:val="hybridMultilevel"/>
    <w:tmpl w:val="77A47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90C17"/>
    <w:multiLevelType w:val="hybridMultilevel"/>
    <w:tmpl w:val="28AE03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CD3"/>
    <w:multiLevelType w:val="hybridMultilevel"/>
    <w:tmpl w:val="90F44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E0085"/>
    <w:multiLevelType w:val="hybridMultilevel"/>
    <w:tmpl w:val="2ED06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305D"/>
    <w:multiLevelType w:val="hybridMultilevel"/>
    <w:tmpl w:val="16AE8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4FD2"/>
    <w:multiLevelType w:val="multilevel"/>
    <w:tmpl w:val="039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51F4B"/>
    <w:multiLevelType w:val="hybridMultilevel"/>
    <w:tmpl w:val="F62CA42A"/>
    <w:lvl w:ilvl="0" w:tplc="1B56F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10A4"/>
    <w:multiLevelType w:val="hybridMultilevel"/>
    <w:tmpl w:val="B4526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651F04"/>
    <w:multiLevelType w:val="hybridMultilevel"/>
    <w:tmpl w:val="00BA3AF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  <w:num w:numId="14">
    <w:abstractNumId w:val="10"/>
  </w:num>
  <w:num w:numId="15">
    <w:abstractNumId w:val="8"/>
  </w:num>
  <w:num w:numId="16">
    <w:abstractNumId w:val="9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0D"/>
    <w:rsid w:val="000077A6"/>
    <w:rsid w:val="00023734"/>
    <w:rsid w:val="000246A6"/>
    <w:rsid w:val="00042A97"/>
    <w:rsid w:val="00043260"/>
    <w:rsid w:val="00051762"/>
    <w:rsid w:val="0006268D"/>
    <w:rsid w:val="0006352E"/>
    <w:rsid w:val="0007760A"/>
    <w:rsid w:val="00080141"/>
    <w:rsid w:val="000818FD"/>
    <w:rsid w:val="00097631"/>
    <w:rsid w:val="000B2CBB"/>
    <w:rsid w:val="000B61BD"/>
    <w:rsid w:val="000C2AE8"/>
    <w:rsid w:val="000F402C"/>
    <w:rsid w:val="000F5797"/>
    <w:rsid w:val="00100304"/>
    <w:rsid w:val="00122148"/>
    <w:rsid w:val="00124E36"/>
    <w:rsid w:val="0013148D"/>
    <w:rsid w:val="00134C0F"/>
    <w:rsid w:val="001542A6"/>
    <w:rsid w:val="0016012A"/>
    <w:rsid w:val="00193249"/>
    <w:rsid w:val="001A4620"/>
    <w:rsid w:val="001A4918"/>
    <w:rsid w:val="001B1D3C"/>
    <w:rsid w:val="001C6962"/>
    <w:rsid w:val="001F6DC6"/>
    <w:rsid w:val="00210D92"/>
    <w:rsid w:val="00213010"/>
    <w:rsid w:val="002216C5"/>
    <w:rsid w:val="00224254"/>
    <w:rsid w:val="00226A52"/>
    <w:rsid w:val="00227F44"/>
    <w:rsid w:val="002406D8"/>
    <w:rsid w:val="002B570D"/>
    <w:rsid w:val="00301630"/>
    <w:rsid w:val="00301FAB"/>
    <w:rsid w:val="00302E8B"/>
    <w:rsid w:val="00353BC5"/>
    <w:rsid w:val="00372B27"/>
    <w:rsid w:val="003B1D6D"/>
    <w:rsid w:val="003C4516"/>
    <w:rsid w:val="003F048E"/>
    <w:rsid w:val="003F24D0"/>
    <w:rsid w:val="0040404D"/>
    <w:rsid w:val="00411D6E"/>
    <w:rsid w:val="00420AF6"/>
    <w:rsid w:val="00434DD9"/>
    <w:rsid w:val="0043533F"/>
    <w:rsid w:val="00440862"/>
    <w:rsid w:val="00451B65"/>
    <w:rsid w:val="00462B68"/>
    <w:rsid w:val="00480710"/>
    <w:rsid w:val="004C078C"/>
    <w:rsid w:val="004F343E"/>
    <w:rsid w:val="004F6F7A"/>
    <w:rsid w:val="00503C4E"/>
    <w:rsid w:val="00511FB8"/>
    <w:rsid w:val="005171EA"/>
    <w:rsid w:val="0054399D"/>
    <w:rsid w:val="00563758"/>
    <w:rsid w:val="00566CCB"/>
    <w:rsid w:val="00576902"/>
    <w:rsid w:val="00581781"/>
    <w:rsid w:val="005A3F61"/>
    <w:rsid w:val="005D21CD"/>
    <w:rsid w:val="005D72C3"/>
    <w:rsid w:val="005E52A0"/>
    <w:rsid w:val="005F5706"/>
    <w:rsid w:val="00623EFA"/>
    <w:rsid w:val="00635660"/>
    <w:rsid w:val="00644FF0"/>
    <w:rsid w:val="00653EC8"/>
    <w:rsid w:val="006548D0"/>
    <w:rsid w:val="00655EA3"/>
    <w:rsid w:val="0067107E"/>
    <w:rsid w:val="00672586"/>
    <w:rsid w:val="006923A1"/>
    <w:rsid w:val="00697827"/>
    <w:rsid w:val="006A2FDD"/>
    <w:rsid w:val="006D64AC"/>
    <w:rsid w:val="006E6E88"/>
    <w:rsid w:val="006F158E"/>
    <w:rsid w:val="006F3B2E"/>
    <w:rsid w:val="00731E19"/>
    <w:rsid w:val="00764248"/>
    <w:rsid w:val="0077799C"/>
    <w:rsid w:val="007863AC"/>
    <w:rsid w:val="007A1259"/>
    <w:rsid w:val="007B22E1"/>
    <w:rsid w:val="007E21C8"/>
    <w:rsid w:val="007F1150"/>
    <w:rsid w:val="007F34FF"/>
    <w:rsid w:val="00802963"/>
    <w:rsid w:val="00804A7F"/>
    <w:rsid w:val="00805135"/>
    <w:rsid w:val="00811F8D"/>
    <w:rsid w:val="0081506A"/>
    <w:rsid w:val="00823673"/>
    <w:rsid w:val="008241C3"/>
    <w:rsid w:val="00827696"/>
    <w:rsid w:val="00867511"/>
    <w:rsid w:val="00874B09"/>
    <w:rsid w:val="00894608"/>
    <w:rsid w:val="008B2176"/>
    <w:rsid w:val="008D6772"/>
    <w:rsid w:val="008F2377"/>
    <w:rsid w:val="008F6071"/>
    <w:rsid w:val="0092231C"/>
    <w:rsid w:val="00925DD5"/>
    <w:rsid w:val="00935481"/>
    <w:rsid w:val="00941A3A"/>
    <w:rsid w:val="009722DB"/>
    <w:rsid w:val="0097616C"/>
    <w:rsid w:val="00976C85"/>
    <w:rsid w:val="00992100"/>
    <w:rsid w:val="009A169B"/>
    <w:rsid w:val="009D4220"/>
    <w:rsid w:val="00A11E64"/>
    <w:rsid w:val="00A1487B"/>
    <w:rsid w:val="00A2110E"/>
    <w:rsid w:val="00A42ADE"/>
    <w:rsid w:val="00A5584F"/>
    <w:rsid w:val="00A55E28"/>
    <w:rsid w:val="00A82E30"/>
    <w:rsid w:val="00A9632C"/>
    <w:rsid w:val="00A96D7C"/>
    <w:rsid w:val="00AA7AC2"/>
    <w:rsid w:val="00AC2F83"/>
    <w:rsid w:val="00AC6C79"/>
    <w:rsid w:val="00B1008E"/>
    <w:rsid w:val="00B119F5"/>
    <w:rsid w:val="00B305C9"/>
    <w:rsid w:val="00B422F1"/>
    <w:rsid w:val="00B42D6E"/>
    <w:rsid w:val="00B57B0D"/>
    <w:rsid w:val="00B6340B"/>
    <w:rsid w:val="00B66FDC"/>
    <w:rsid w:val="00B72911"/>
    <w:rsid w:val="00B72FC9"/>
    <w:rsid w:val="00B841CB"/>
    <w:rsid w:val="00B85ADC"/>
    <w:rsid w:val="00BB0C83"/>
    <w:rsid w:val="00C02E88"/>
    <w:rsid w:val="00C04909"/>
    <w:rsid w:val="00C158FC"/>
    <w:rsid w:val="00C34796"/>
    <w:rsid w:val="00C7084E"/>
    <w:rsid w:val="00C826DD"/>
    <w:rsid w:val="00C827E6"/>
    <w:rsid w:val="00C85AE1"/>
    <w:rsid w:val="00C91333"/>
    <w:rsid w:val="00CA433F"/>
    <w:rsid w:val="00CB07AA"/>
    <w:rsid w:val="00CB4CBA"/>
    <w:rsid w:val="00CB6676"/>
    <w:rsid w:val="00CB7840"/>
    <w:rsid w:val="00CC100E"/>
    <w:rsid w:val="00CC1890"/>
    <w:rsid w:val="00CD7594"/>
    <w:rsid w:val="00CE3F8E"/>
    <w:rsid w:val="00CE5B03"/>
    <w:rsid w:val="00D03A73"/>
    <w:rsid w:val="00D05B61"/>
    <w:rsid w:val="00D061D7"/>
    <w:rsid w:val="00D113B2"/>
    <w:rsid w:val="00D20A06"/>
    <w:rsid w:val="00D55CE8"/>
    <w:rsid w:val="00D6477C"/>
    <w:rsid w:val="00D73A41"/>
    <w:rsid w:val="00DA5CF5"/>
    <w:rsid w:val="00DA5F20"/>
    <w:rsid w:val="00DD30E5"/>
    <w:rsid w:val="00E17D4A"/>
    <w:rsid w:val="00E2268E"/>
    <w:rsid w:val="00E47DDA"/>
    <w:rsid w:val="00E51E43"/>
    <w:rsid w:val="00E641E8"/>
    <w:rsid w:val="00E643D0"/>
    <w:rsid w:val="00E65FA8"/>
    <w:rsid w:val="00E86047"/>
    <w:rsid w:val="00E97456"/>
    <w:rsid w:val="00EA333D"/>
    <w:rsid w:val="00EC3BD8"/>
    <w:rsid w:val="00EE3F7F"/>
    <w:rsid w:val="00F04BF8"/>
    <w:rsid w:val="00F24462"/>
    <w:rsid w:val="00F31112"/>
    <w:rsid w:val="00F3114E"/>
    <w:rsid w:val="00F510C9"/>
    <w:rsid w:val="00F5467E"/>
    <w:rsid w:val="00F62599"/>
    <w:rsid w:val="00F97B52"/>
    <w:rsid w:val="00FB45B3"/>
    <w:rsid w:val="00FC78AB"/>
    <w:rsid w:val="00FD2746"/>
    <w:rsid w:val="00FD6173"/>
    <w:rsid w:val="00FD6499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4F25"/>
  <w15:chartTrackingRefBased/>
  <w15:docId w15:val="{E3F7A7AA-3B93-49BA-9D72-B407A8D9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925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57B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57B0D"/>
    <w:pPr>
      <w:spacing w:after="200" w:line="276" w:lineRule="auto"/>
      <w:ind w:left="720"/>
      <w:contextualSpacing/>
    </w:pPr>
  </w:style>
  <w:style w:type="paragraph" w:styleId="Cita">
    <w:name w:val="Quote"/>
    <w:basedOn w:val="Normal"/>
    <w:next w:val="Normal"/>
    <w:link w:val="CitaCar"/>
    <w:uiPriority w:val="9"/>
    <w:qFormat/>
    <w:rsid w:val="00B57B0D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link w:val="Cita"/>
    <w:uiPriority w:val="9"/>
    <w:rsid w:val="00B57B0D"/>
    <w:rPr>
      <w:rFonts w:ascii="Verdana" w:hAnsi="Verdana"/>
      <w:color w:val="595959"/>
      <w:kern w:val="20"/>
      <w:sz w:val="22"/>
      <w:lang w:val="x-none" w:eastAsia="ja-JP"/>
    </w:rPr>
  </w:style>
  <w:style w:type="paragraph" w:customStyle="1" w:styleId="Default">
    <w:name w:val="Default"/>
    <w:rsid w:val="0089460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E47DDA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D061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2Car">
    <w:name w:val="Título 2 Car"/>
    <w:link w:val="Ttulo2"/>
    <w:uiPriority w:val="9"/>
    <w:rsid w:val="00925DD5"/>
    <w:rPr>
      <w:rFonts w:ascii="Times New Roman" w:eastAsia="Times New Roman" w:hAnsi="Times New Roman"/>
      <w:b/>
      <w:bCs/>
      <w:sz w:val="36"/>
      <w:szCs w:val="36"/>
    </w:rPr>
  </w:style>
  <w:style w:type="character" w:styleId="Textoennegrita">
    <w:name w:val="Strong"/>
    <w:uiPriority w:val="22"/>
    <w:qFormat/>
    <w:rsid w:val="00925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Ecastro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4645</CharactersWithSpaces>
  <SharedDoc>false</SharedDoc>
  <HLinks>
    <vt:vector size="18" baseType="variant"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file://C:\Users\Ecastro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 Internet Files\Content.Outlook\OBQMBMQB\gabineteprensa@fraternidad.com</vt:lpwstr>
      </vt:variant>
      <vt:variant>
        <vt:lpwstr/>
      </vt:variant>
      <vt:variant>
        <vt:i4>1835037</vt:i4>
      </vt:variant>
      <vt:variant>
        <vt:i4>3</vt:i4>
      </vt:variant>
      <vt:variant>
        <vt:i4>0</vt:i4>
      </vt:variant>
      <vt:variant>
        <vt:i4>5</vt:i4>
      </vt:variant>
      <vt:variant>
        <vt:lpwstr>https://www.fraternidad.com/Prensa/es-ES</vt:lpwstr>
      </vt:variant>
      <vt:variant>
        <vt:lpwstr/>
      </vt:variant>
      <vt:variant>
        <vt:i4>6357080</vt:i4>
      </vt:variant>
      <vt:variant>
        <vt:i4>2124</vt:i4>
      </vt:variant>
      <vt:variant>
        <vt:i4>1032</vt:i4>
      </vt:variant>
      <vt:variant>
        <vt:i4>1</vt:i4>
      </vt:variant>
      <vt:variant>
        <vt:lpwstr>cid:image001.png@01D20820.8DF2F010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Fociños Gonzalez, Margarita</cp:lastModifiedBy>
  <cp:revision>4</cp:revision>
  <dcterms:created xsi:type="dcterms:W3CDTF">2026-02-04T22:48:00Z</dcterms:created>
  <dcterms:modified xsi:type="dcterms:W3CDTF">2026-02-09T13:48:00Z</dcterms:modified>
</cp:coreProperties>
</file>