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B81" w:rsidRDefault="002B0B81" w:rsidP="002B0B81">
      <w:pPr>
        <w:jc w:val="both"/>
        <w:rPr>
          <w:color w:val="1F497D"/>
        </w:rPr>
      </w:pPr>
    </w:p>
    <w:tbl>
      <w:tblPr>
        <w:tblW w:w="9481" w:type="dxa"/>
        <w:jc w:val="center"/>
        <w:tblInd w:w="-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2B0B81" w:rsidTr="000446CA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B81" w:rsidRDefault="002B0B81" w:rsidP="000446CA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drawing>
                <wp:inline distT="0" distB="0" distL="0" distR="0">
                  <wp:extent cx="1960245" cy="511810"/>
                  <wp:effectExtent l="0" t="0" r="1905" b="254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0245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B81" w:rsidRDefault="002B0B81" w:rsidP="000446CA">
            <w:pPr>
              <w:jc w:val="both"/>
            </w:pPr>
          </w:p>
        </w:tc>
      </w:tr>
      <w:tr w:rsidR="002B0B81" w:rsidTr="000446CA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B81" w:rsidRDefault="002B0B81" w:rsidP="000446CA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2B0B81" w:rsidTr="000446CA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B81" w:rsidRDefault="002B0B81" w:rsidP="000446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B81" w:rsidTr="000446CA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B81" w:rsidRDefault="002B0B81" w:rsidP="000446CA">
            <w:pPr>
              <w:autoSpaceDE w:val="0"/>
              <w:autoSpaceDN w:val="0"/>
              <w:jc w:val="both"/>
            </w:pPr>
          </w:p>
        </w:tc>
      </w:tr>
      <w:tr w:rsidR="002B0B81" w:rsidTr="000446CA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B81" w:rsidRPr="00410C8B" w:rsidRDefault="002B0B81" w:rsidP="000446CA">
            <w:pPr>
              <w:pStyle w:val="NormalWeb"/>
              <w:spacing w:before="0" w:beforeAutospacing="0" w:after="0" w:afterAutospacing="0"/>
              <w:jc w:val="center"/>
              <w:rPr>
                <w:rFonts w:ascii="Verdana" w:hAnsi="Verdana"/>
                <w:b/>
                <w:bCs/>
                <w:color w:val="FF7F50"/>
              </w:rPr>
            </w:pPr>
            <w:r>
              <w:rPr>
                <w:rFonts w:ascii="Verdana" w:hAnsi="Verdana"/>
                <w:b/>
                <w:color w:val="00B050"/>
              </w:rPr>
              <w:t>Fraternidad-</w:t>
            </w:r>
            <w:proofErr w:type="spellStart"/>
            <w:r>
              <w:rPr>
                <w:rFonts w:ascii="Verdana" w:hAnsi="Verdana"/>
                <w:b/>
                <w:color w:val="00B050"/>
              </w:rPr>
              <w:t>Muprespa</w:t>
            </w:r>
            <w:proofErr w:type="spellEnd"/>
            <w:r>
              <w:rPr>
                <w:rFonts w:ascii="Verdana" w:hAnsi="Verdana"/>
                <w:b/>
                <w:color w:val="00B050"/>
              </w:rPr>
              <w:t xml:space="preserve"> colabora con </w:t>
            </w:r>
            <w:proofErr w:type="spellStart"/>
            <w:r>
              <w:rPr>
                <w:rFonts w:ascii="Verdana" w:hAnsi="Verdana"/>
                <w:b/>
                <w:color w:val="00B050"/>
              </w:rPr>
              <w:t>Aespla</w:t>
            </w:r>
            <w:proofErr w:type="spellEnd"/>
            <w:r>
              <w:rPr>
                <w:rFonts w:ascii="Verdana" w:hAnsi="Verdana"/>
                <w:b/>
                <w:color w:val="00B050"/>
              </w:rPr>
              <w:t xml:space="preserve"> en la elaboración y difusión de su guía para implantar estrategias de gestión de la edad</w:t>
            </w:r>
          </w:p>
        </w:tc>
      </w:tr>
      <w:tr w:rsidR="002B0B81" w:rsidTr="000446CA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0B81" w:rsidRDefault="002B0B81" w:rsidP="000446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B0B81" w:rsidTr="000446CA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0B81" w:rsidRDefault="002B0B81" w:rsidP="000446CA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2B0B81" w:rsidRDefault="002B0B81" w:rsidP="000446CA">
            <w:pPr>
              <w:jc w:val="both"/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Madrid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, a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25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abril de </w:t>
            </w:r>
            <w:r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201</w:t>
            </w: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9</w:t>
            </w:r>
          </w:p>
          <w:p w:rsidR="002B0B81" w:rsidRDefault="002B0B81" w:rsidP="000446CA">
            <w:pPr>
              <w:ind w:left="360"/>
              <w:jc w:val="both"/>
              <w:rPr>
                <w:sz w:val="24"/>
                <w:szCs w:val="24"/>
              </w:rPr>
            </w:pPr>
          </w:p>
          <w:p w:rsidR="002B0B81" w:rsidRPr="006A4269" w:rsidRDefault="002B0B81" w:rsidP="002B0B81">
            <w:pPr>
              <w:numPr>
                <w:ilvl w:val="0"/>
                <w:numId w:val="1"/>
              </w:numPr>
              <w:spacing w:line="240" w:lineRule="atLeast"/>
              <w:ind w:left="720"/>
              <w:jc w:val="both"/>
              <w:rPr>
                <w:rFonts w:ascii="Verdana" w:hAnsi="Verdana"/>
              </w:rPr>
            </w:pPr>
            <w:r w:rsidRPr="006A4269">
              <w:rPr>
                <w:rFonts w:ascii="Verdana" w:hAnsi="Verdana"/>
                <w:sz w:val="24"/>
                <w:szCs w:val="24"/>
              </w:rPr>
              <w:t xml:space="preserve">La </w:t>
            </w:r>
            <w:r w:rsidRPr="006A4269">
              <w:rPr>
                <w:rFonts w:ascii="Verdana" w:hAnsi="Verdana"/>
                <w:i/>
                <w:sz w:val="24"/>
                <w:szCs w:val="24"/>
              </w:rPr>
              <w:t>Guía de recomendaciones para la implantación de una estrategia de gestión de la edad</w:t>
            </w:r>
            <w:r w:rsidRPr="006A4269">
              <w:rPr>
                <w:rFonts w:ascii="Verdana" w:hAnsi="Verdana"/>
                <w:sz w:val="24"/>
                <w:szCs w:val="24"/>
              </w:rPr>
              <w:t xml:space="preserve"> pretende proporcionar estudios de referencia para abordar la gestión de la edad en el entorno laboral.</w:t>
            </w:r>
          </w:p>
          <w:p w:rsidR="002B0B81" w:rsidRDefault="002B0B81" w:rsidP="000446CA"/>
          <w:p w:rsidR="002B0B81" w:rsidRDefault="002B0B81" w:rsidP="000446CA">
            <w:pPr>
              <w:jc w:val="both"/>
            </w:pPr>
            <w:r>
              <w:t>Fraternidad-</w:t>
            </w:r>
            <w:proofErr w:type="spellStart"/>
            <w:r>
              <w:t>Muprespa</w:t>
            </w:r>
            <w:proofErr w:type="spellEnd"/>
            <w:r>
              <w:t xml:space="preserve">, Mutua Colaboradora con la Seguridad Social, ha participado junto a la Asociación Española de Servicios de Prevención Laboral, </w:t>
            </w:r>
            <w:proofErr w:type="spellStart"/>
            <w:r>
              <w:t>Aespla</w:t>
            </w:r>
            <w:proofErr w:type="spellEnd"/>
            <w:r>
              <w:t>, en la elaboración de la “</w:t>
            </w:r>
            <w:r>
              <w:rPr>
                <w:b/>
                <w:bCs/>
              </w:rPr>
              <w:t>Guía de recomendaciones para la implantación de una estrategia de gestión de la edad</w:t>
            </w:r>
            <w:r>
              <w:t>”. Este trabajo, que se presentó recientemente, ha sido realizado con la colaboración del Instituto de Biomecánica de Valencia.</w:t>
            </w:r>
          </w:p>
          <w:p w:rsidR="002B0B81" w:rsidRDefault="002B0B81" w:rsidP="000446CA">
            <w:pPr>
              <w:jc w:val="both"/>
            </w:pPr>
            <w:r>
              <w:t xml:space="preserve"> </w:t>
            </w:r>
          </w:p>
          <w:p w:rsidR="002B0B81" w:rsidRDefault="002B0B81" w:rsidP="000446CA">
            <w:pPr>
              <w:jc w:val="both"/>
            </w:pPr>
            <w:r>
              <w:t xml:space="preserve">La guía es una publicación gratuita que amplía el catálogo con el que </w:t>
            </w:r>
            <w:proofErr w:type="spellStart"/>
            <w:r>
              <w:t>Aespla</w:t>
            </w:r>
            <w:proofErr w:type="spellEnd"/>
            <w:r>
              <w:t xml:space="preserve"> cumple con su misión difundir externamente el conocimiento y las buenas prácticas que desarrollan sus empresas asociadas. Comparte así sus experiencias con otras empresas y organizaciones, con el objetivo último de </w:t>
            </w:r>
            <w:r>
              <w:rPr>
                <w:lang w:val="es-ES_tradnl"/>
              </w:rPr>
              <w:t> mejorar la seguridad, salud y bienestar en el trabajo en nuestro país</w:t>
            </w:r>
            <w:r>
              <w:t>.</w:t>
            </w:r>
          </w:p>
          <w:p w:rsidR="002B0B81" w:rsidRDefault="002B0B81" w:rsidP="000446CA">
            <w:pPr>
              <w:jc w:val="both"/>
            </w:pPr>
          </w:p>
          <w:p w:rsidR="002B0B81" w:rsidRPr="00011BB6" w:rsidRDefault="002B0B81" w:rsidP="000446CA">
            <w:pPr>
              <w:jc w:val="both"/>
              <w:rPr>
                <w:lang w:val="es-ES_tradnl"/>
              </w:rPr>
            </w:pPr>
            <w:r>
              <w:rPr>
                <w:lang w:val="es-ES_tradnl"/>
              </w:rPr>
              <w:t xml:space="preserve">Con la Guía se pretende que las empresas tengan información procedente de estudios de referencia </w:t>
            </w:r>
            <w:r w:rsidR="00011BB6">
              <w:rPr>
                <w:lang w:val="es-ES_tradnl"/>
              </w:rPr>
              <w:t xml:space="preserve">sobre </w:t>
            </w:r>
            <w:r>
              <w:rPr>
                <w:lang w:val="es-ES_tradnl"/>
              </w:rPr>
              <w:t>modos de abordar la gestión de la edad en el entorno laboral</w:t>
            </w:r>
            <w:r w:rsidR="00011BB6">
              <w:rPr>
                <w:lang w:val="es-ES_tradnl"/>
              </w:rPr>
              <w:t>. También que conozcan las experiencias que ya están llevando a c</w:t>
            </w:r>
            <w:r>
              <w:rPr>
                <w:lang w:val="es-ES_tradnl"/>
              </w:rPr>
              <w:t xml:space="preserve">abo este tipo de iniciativas. De esta forma ponen en marcha su propia estrategia y actuaciones dirigidas a la gestión del envejecimiento de la población laboral. </w:t>
            </w:r>
            <w:r>
              <w:t xml:space="preserve">La guía se difundirá también en diferentes eventos del sector. </w:t>
            </w:r>
          </w:p>
          <w:p w:rsidR="002B0B81" w:rsidRDefault="002B0B81" w:rsidP="000446CA">
            <w:pPr>
              <w:rPr>
                <w:lang w:val="es-ES_tradnl"/>
              </w:rPr>
            </w:pPr>
          </w:p>
          <w:p w:rsidR="002B0B81" w:rsidRDefault="002B0B81" w:rsidP="000446CA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drawing>
                <wp:inline distT="0" distB="0" distL="0" distR="0">
                  <wp:extent cx="3898900" cy="2597150"/>
                  <wp:effectExtent l="0" t="0" r="6350" b="0"/>
                  <wp:docPr id="1" name="Imagen 1" descr="R:\DRAC\Contenidos y Publicaciones\Contenidos y recursos\___FOTOS FM___\2019\20190423 - Premios Escolástico Zaldívar 2019\Premios EZ 2019 (NUESTRAS)\IMG_21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:\DRAC\Contenidos y Publicaciones\Contenidos y recursos\___FOTOS FM___\2019\20190423 - Premios Escolástico Zaldívar 2019\Premios EZ 2019 (NUESTRAS)\IMG_21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8900" cy="259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0B81" w:rsidRDefault="002B0B81" w:rsidP="000446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2B0B81" w:rsidRDefault="002B0B81" w:rsidP="000446CA">
            <w:pPr>
              <w:jc w:val="center"/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Si desea conocer el contenido de la guía puede consultarla en este enlace: </w:t>
            </w:r>
            <w:hyperlink r:id="rId8" w:history="1">
              <w:r>
                <w:rPr>
                  <w:rStyle w:val="Hipervnculo"/>
                </w:rPr>
                <w:t>aespla.com</w:t>
              </w:r>
            </w:hyperlink>
          </w:p>
          <w:p w:rsidR="002B0B81" w:rsidRDefault="002B0B81" w:rsidP="000446CA">
            <w:pPr>
              <w:jc w:val="center"/>
              <w:rPr>
                <w:rFonts w:ascii="Verdana" w:hAnsi="Verdana"/>
                <w:sz w:val="18"/>
                <w:szCs w:val="18"/>
              </w:rPr>
            </w:pPr>
            <w:bookmarkStart w:id="0" w:name="_GoBack"/>
            <w:bookmarkEnd w:id="0"/>
          </w:p>
          <w:p w:rsidR="002B0B81" w:rsidRDefault="002B0B81" w:rsidP="000446CA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2B0B81" w:rsidTr="000446CA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2B0B81" w:rsidRPr="00E30068" w:rsidTr="000446CA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2B0B81" w:rsidRPr="00E30068" w:rsidRDefault="002B0B81" w:rsidP="000446CA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</w:t>
                        </w:r>
                        <w:proofErr w:type="spellStart"/>
                        <w:r w:rsidRPr="00E30068">
                          <w:rPr>
                            <w:b/>
                          </w:rPr>
                          <w:t>Muprespa</w:t>
                        </w:r>
                        <w:proofErr w:type="spellEnd"/>
                        <w:r w:rsidRPr="00E30068">
                          <w:rPr>
                            <w:b/>
                          </w:rPr>
                          <w:t>:</w:t>
                        </w:r>
                      </w:p>
                      <w:p w:rsidR="002B0B81" w:rsidRPr="002528D8" w:rsidRDefault="002B0B81" w:rsidP="000446CA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117.000 empresas y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1.413.000 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2.035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2B0B81" w:rsidRPr="00E30068" w:rsidRDefault="002B0B81" w:rsidP="000446CA">
                        <w:pPr>
                          <w:spacing w:before="200"/>
                          <w:jc w:val="both"/>
                        </w:pPr>
                        <w:r w:rsidRPr="00E30068">
                          <w:t>Fraternidad-</w:t>
                        </w:r>
                        <w:proofErr w:type="spellStart"/>
                        <w:r w:rsidRPr="00E30068">
                          <w:t>Muprespa</w:t>
                        </w:r>
                        <w:proofErr w:type="spellEnd"/>
                        <w:r w:rsidRPr="00E30068">
                          <w:t xml:space="preserve"> se esfuerza por la excelencia y calidad en sus servicios, obteniendo la certificación del Sistema de Gestión de la Calidad para casi un centenar de sus centros, el certificado oficial de la </w:t>
                        </w:r>
                        <w:r w:rsidRPr="00E30068">
                          <w:rPr>
                            <w:i/>
                          </w:rPr>
                          <w:t>Marca de Garantía Madrid Excelente</w:t>
                        </w:r>
                        <w:r w:rsidRPr="00E30068">
                          <w:t xml:space="preserve"> y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 w:rsidRPr="00E30068">
                          <w:t>, entre otras.</w:t>
                        </w:r>
                      </w:p>
                      <w:p w:rsidR="002B0B81" w:rsidRDefault="002B0B81" w:rsidP="000446CA">
                        <w:pPr>
                          <w:jc w:val="both"/>
                        </w:pPr>
                      </w:p>
                      <w:p w:rsidR="002B0B81" w:rsidRPr="00E30068" w:rsidRDefault="002B0B81" w:rsidP="000446CA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  <w:r w:rsidRPr="00E30068">
                          <w:t xml:space="preserve">En su compromiso ético con los derechos humanos y laborales, el empoderamiento de la Mujer el medioambiente y la lucha contra la corrupción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que otorga el Ministerio de Sanidad, Servicios Sociales e Igualdad, la </w:t>
                        </w:r>
                        <w:r w:rsidRPr="00E30068">
                          <w:rPr>
                            <w:i/>
                          </w:rPr>
                          <w:t xml:space="preserve">Certificación </w:t>
                        </w:r>
                        <w:proofErr w:type="spellStart"/>
                        <w:r w:rsidRPr="00E30068">
                          <w:rPr>
                            <w:i/>
                          </w:rPr>
                          <w:t>Bequal</w:t>
                        </w:r>
                        <w:proofErr w:type="spellEnd"/>
                        <w:r w:rsidRPr="00E30068">
                          <w:rPr>
                            <w:i/>
                          </w:rPr>
                          <w:t xml:space="preserve"> categoría PLUS </w:t>
                        </w:r>
                        <w:r w:rsidRPr="00581B02">
                          <w:t>y el p</w:t>
                        </w:r>
                        <w:r w:rsidRPr="00E30068">
                          <w:t>remio a la Accesibilidad DIGA 2017.</w:t>
                        </w:r>
                        <w:r>
                          <w:t xml:space="preserve"> Fraternidad-</w:t>
                        </w:r>
                        <w:proofErr w:type="spellStart"/>
                        <w:r>
                          <w:t>Muprespa</w:t>
                        </w:r>
                        <w:proofErr w:type="spellEnd"/>
                        <w:r>
                          <w:t xml:space="preserve"> celebra en 2019 su 90 aniversario bajo el lema: “Compromiso, cercanía y fraternidad”. </w:t>
                        </w:r>
                        <w:hyperlink r:id="rId9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</w:tc>
                  </w:tr>
                  <w:tr w:rsidR="002B0B81" w:rsidRPr="00E30068" w:rsidTr="000446CA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2B0B81" w:rsidRPr="00E30068" w:rsidRDefault="002B0B81" w:rsidP="000446CA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2B0B81" w:rsidRPr="00E30068" w:rsidRDefault="00011BB6" w:rsidP="000446CA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10" w:history="1">
                          <w:r w:rsidR="002B0B8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2B0B81" w:rsidRPr="00E30068" w:rsidRDefault="002B0B81" w:rsidP="000446CA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2B0B81" w:rsidRDefault="002B0B81" w:rsidP="000446CA">
                  <w:pPr>
                    <w:jc w:val="both"/>
                  </w:pPr>
                </w:p>
              </w:tc>
            </w:tr>
            <w:tr w:rsidR="002B0B81" w:rsidTr="000446CA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0B81" w:rsidRDefault="002B0B81" w:rsidP="000446CA">
                  <w:pPr>
                    <w:jc w:val="both"/>
                  </w:pPr>
                </w:p>
              </w:tc>
            </w:tr>
          </w:tbl>
          <w:p w:rsidR="002B0B81" w:rsidRPr="00530184" w:rsidRDefault="002B0B81" w:rsidP="000446CA">
            <w:pPr>
              <w:jc w:val="both"/>
              <w:rPr>
                <w:rFonts w:ascii="Verdana" w:hAnsi="Verdana"/>
              </w:rPr>
            </w:pPr>
          </w:p>
        </w:tc>
      </w:tr>
    </w:tbl>
    <w:p w:rsidR="002B0B81" w:rsidRDefault="002B0B81" w:rsidP="002B0B81">
      <w:pPr>
        <w:jc w:val="both"/>
      </w:pPr>
    </w:p>
    <w:p w:rsidR="00CB5F7A" w:rsidRDefault="00011BB6"/>
    <w:sectPr w:rsidR="00CB5F7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94C25"/>
    <w:multiLevelType w:val="hybridMultilevel"/>
    <w:tmpl w:val="F0823E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27"/>
    <w:rsid w:val="00011BB6"/>
    <w:rsid w:val="002B0B81"/>
    <w:rsid w:val="005D59DC"/>
    <w:rsid w:val="00AB5C27"/>
    <w:rsid w:val="00C2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B8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2B0B8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2B0B8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2B0B8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NormalWeb">
    <w:name w:val="Normal (Web)"/>
    <w:basedOn w:val="Normal"/>
    <w:uiPriority w:val="99"/>
    <w:unhideWhenUsed/>
    <w:rsid w:val="002B0B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2B0B8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0B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B81"/>
    <w:rPr>
      <w:rFonts w:ascii="Tahoma" w:eastAsia="Calibri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B8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2B0B8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2B0B8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2B0B8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NormalWeb">
    <w:name w:val="Normal (Web)"/>
    <w:basedOn w:val="Normal"/>
    <w:uiPriority w:val="99"/>
    <w:unhideWhenUsed/>
    <w:rsid w:val="002B0B8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2B0B8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0B8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0B81"/>
    <w:rPr>
      <w:rFonts w:ascii="Tahoma" w:eastAsia="Calibri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spla.com/images/Guia/Manual-AESPLA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raternidad.com/Prensa/es-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2835</Characters>
  <Application>Microsoft Office Word</Application>
  <DocSecurity>0</DocSecurity>
  <Lines>23</Lines>
  <Paragraphs>6</Paragraphs>
  <ScaleCrop>false</ScaleCrop>
  <Company>Fraternidad Muprespa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2019-04-25T12:01:00Z</dcterms:created>
  <dcterms:modified xsi:type="dcterms:W3CDTF">2019-04-25T12:10:00Z</dcterms:modified>
</cp:coreProperties>
</file>