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8"/>
      </w:tblGrid>
      <w:tr w:rsidR="000511E1" w:rsidTr="007844D0">
        <w:trPr>
          <w:trHeight w:val="799"/>
          <w:jc w:val="center"/>
        </w:trPr>
        <w:tc>
          <w:tcPr>
            <w:tcW w:w="9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E1" w:rsidRDefault="00FF6BAC" w:rsidP="007844D0">
            <w:pPr>
              <w:jc w:val="center"/>
            </w:pPr>
            <w:r>
              <w:rPr>
                <w:b/>
                <w:bCs/>
                <w:i/>
                <w:iCs/>
                <w:noProof/>
              </w:rPr>
              <w:fldChar w:fldCharType="begin"/>
            </w:r>
            <w:r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>
              <w:rPr>
                <w:b/>
                <w:bCs/>
                <w:i/>
                <w:iCs/>
                <w:noProof/>
              </w:rPr>
              <w:fldChar w:fldCharType="separate"/>
            </w:r>
            <w:r w:rsidR="00894D46">
              <w:rPr>
                <w:b/>
                <w:bCs/>
                <w:i/>
                <w:iCs/>
                <w:noProof/>
              </w:rPr>
              <w:fldChar w:fldCharType="begin"/>
            </w:r>
            <w:r w:rsidR="00894D46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894D46">
              <w:rPr>
                <w:b/>
                <w:bCs/>
                <w:i/>
                <w:iCs/>
                <w:noProof/>
              </w:rPr>
              <w:fldChar w:fldCharType="separate"/>
            </w:r>
            <w:r w:rsidR="00894D46">
              <w:rPr>
                <w:b/>
                <w:bCs/>
                <w:i/>
                <w:iCs/>
                <w:noProof/>
              </w:rPr>
              <w:fldChar w:fldCharType="begin"/>
            </w:r>
            <w:r w:rsidR="00894D46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894D46">
              <w:rPr>
                <w:b/>
                <w:bCs/>
                <w:i/>
                <w:iCs/>
                <w:noProof/>
              </w:rPr>
              <w:fldChar w:fldCharType="separate"/>
            </w:r>
            <w:r w:rsidR="00A26C5C">
              <w:rPr>
                <w:b/>
                <w:bCs/>
                <w:i/>
                <w:iCs/>
                <w:noProof/>
              </w:rPr>
              <w:fldChar w:fldCharType="begin"/>
            </w:r>
            <w:r w:rsidR="00A26C5C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A26C5C">
              <w:rPr>
                <w:b/>
                <w:bCs/>
                <w:i/>
                <w:iCs/>
                <w:noProof/>
              </w:rPr>
              <w:fldChar w:fldCharType="separate"/>
            </w:r>
            <w:r w:rsidR="002534A0">
              <w:rPr>
                <w:b/>
                <w:bCs/>
                <w:i/>
                <w:iCs/>
                <w:noProof/>
              </w:rPr>
              <w:fldChar w:fldCharType="begin"/>
            </w:r>
            <w:r w:rsidR="002534A0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2534A0">
              <w:rPr>
                <w:b/>
                <w:bCs/>
                <w:i/>
                <w:iCs/>
                <w:noProof/>
              </w:rPr>
              <w:fldChar w:fldCharType="separate"/>
            </w:r>
            <w:r w:rsidR="002D23DC">
              <w:rPr>
                <w:b/>
                <w:bCs/>
                <w:i/>
                <w:iCs/>
                <w:noProof/>
              </w:rPr>
              <w:fldChar w:fldCharType="begin"/>
            </w:r>
            <w:r w:rsidR="002D23DC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2D23DC">
              <w:rPr>
                <w:b/>
                <w:bCs/>
                <w:i/>
                <w:iCs/>
                <w:noProof/>
              </w:rPr>
              <w:fldChar w:fldCharType="separate"/>
            </w:r>
            <w:r w:rsidR="00047137">
              <w:rPr>
                <w:b/>
                <w:bCs/>
                <w:i/>
                <w:iCs/>
                <w:noProof/>
              </w:rPr>
              <w:fldChar w:fldCharType="begin"/>
            </w:r>
            <w:r w:rsidR="00047137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047137">
              <w:rPr>
                <w:b/>
                <w:bCs/>
                <w:i/>
                <w:iCs/>
                <w:noProof/>
              </w:rPr>
              <w:fldChar w:fldCharType="separate"/>
            </w:r>
            <w:r w:rsidR="000C40CF">
              <w:rPr>
                <w:b/>
                <w:bCs/>
                <w:i/>
                <w:iCs/>
                <w:noProof/>
              </w:rPr>
              <w:fldChar w:fldCharType="begin"/>
            </w:r>
            <w:r w:rsidR="000C40CF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0C40CF">
              <w:rPr>
                <w:b/>
                <w:bCs/>
                <w:i/>
                <w:iCs/>
                <w:noProof/>
              </w:rPr>
              <w:fldChar w:fldCharType="separate"/>
            </w:r>
            <w:r w:rsidR="003E3876">
              <w:rPr>
                <w:b/>
                <w:bCs/>
                <w:i/>
                <w:iCs/>
                <w:noProof/>
              </w:rPr>
              <w:fldChar w:fldCharType="begin"/>
            </w:r>
            <w:r w:rsidR="003E3876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3E3876">
              <w:rPr>
                <w:b/>
                <w:bCs/>
                <w:i/>
                <w:iCs/>
                <w:noProof/>
              </w:rPr>
              <w:fldChar w:fldCharType="separate"/>
            </w:r>
            <w:r w:rsidR="00420DF6">
              <w:rPr>
                <w:b/>
                <w:bCs/>
                <w:i/>
                <w:iCs/>
                <w:noProof/>
              </w:rPr>
              <w:fldChar w:fldCharType="begin"/>
            </w:r>
            <w:r w:rsidR="00420DF6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420DF6">
              <w:rPr>
                <w:b/>
                <w:bCs/>
                <w:i/>
                <w:iCs/>
                <w:noProof/>
              </w:rPr>
              <w:fldChar w:fldCharType="separate"/>
            </w:r>
            <w:r w:rsidR="00363507">
              <w:rPr>
                <w:b/>
                <w:bCs/>
                <w:i/>
                <w:iCs/>
                <w:noProof/>
              </w:rPr>
              <w:fldChar w:fldCharType="begin"/>
            </w:r>
            <w:r w:rsidR="00363507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363507">
              <w:rPr>
                <w:b/>
                <w:bCs/>
                <w:i/>
                <w:iCs/>
                <w:noProof/>
              </w:rPr>
              <w:instrText>INCLUDEPICTURE  "cid:image001.png@01D20820.8DF2F010" \* MERGEFORMATINET</w:instrText>
            </w:r>
            <w:r w:rsidR="00363507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363507">
              <w:rPr>
                <w:b/>
                <w:bCs/>
                <w:i/>
                <w:iCs/>
                <w:noProof/>
              </w:rPr>
              <w:fldChar w:fldCharType="separate"/>
            </w:r>
            <w:r w:rsidR="00363507">
              <w:rPr>
                <w:b/>
                <w:bCs/>
                <w:i/>
                <w:iC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3.75pt;height:40.25pt;visibility:visible">
                  <v:imagedata r:id="rId5" r:href="rId6"/>
                </v:shape>
              </w:pict>
            </w:r>
            <w:r w:rsidR="00363507">
              <w:rPr>
                <w:b/>
                <w:bCs/>
                <w:i/>
                <w:iCs/>
                <w:noProof/>
              </w:rPr>
              <w:fldChar w:fldCharType="end"/>
            </w:r>
            <w:r w:rsidR="00420DF6">
              <w:rPr>
                <w:b/>
                <w:bCs/>
                <w:i/>
                <w:iCs/>
                <w:noProof/>
              </w:rPr>
              <w:fldChar w:fldCharType="end"/>
            </w:r>
            <w:r w:rsidR="003E3876">
              <w:rPr>
                <w:b/>
                <w:bCs/>
                <w:i/>
                <w:iCs/>
                <w:noProof/>
              </w:rPr>
              <w:fldChar w:fldCharType="end"/>
            </w:r>
            <w:r w:rsidR="000C40CF">
              <w:rPr>
                <w:b/>
                <w:bCs/>
                <w:i/>
                <w:iCs/>
                <w:noProof/>
              </w:rPr>
              <w:fldChar w:fldCharType="end"/>
            </w:r>
            <w:r w:rsidR="00047137">
              <w:rPr>
                <w:b/>
                <w:bCs/>
                <w:i/>
                <w:iCs/>
                <w:noProof/>
              </w:rPr>
              <w:fldChar w:fldCharType="end"/>
            </w:r>
            <w:r w:rsidR="002D23DC">
              <w:rPr>
                <w:b/>
                <w:bCs/>
                <w:i/>
                <w:iCs/>
                <w:noProof/>
              </w:rPr>
              <w:fldChar w:fldCharType="end"/>
            </w:r>
            <w:r w:rsidR="002534A0">
              <w:rPr>
                <w:b/>
                <w:bCs/>
                <w:i/>
                <w:iCs/>
                <w:noProof/>
              </w:rPr>
              <w:fldChar w:fldCharType="end"/>
            </w:r>
            <w:r w:rsidR="00A26C5C">
              <w:rPr>
                <w:b/>
                <w:bCs/>
                <w:i/>
                <w:iCs/>
                <w:noProof/>
              </w:rPr>
              <w:fldChar w:fldCharType="end"/>
            </w:r>
            <w:r w:rsidR="00894D46">
              <w:rPr>
                <w:b/>
                <w:bCs/>
                <w:i/>
                <w:iCs/>
                <w:noProof/>
              </w:rPr>
              <w:fldChar w:fldCharType="end"/>
            </w:r>
            <w:r w:rsidR="00894D46">
              <w:rPr>
                <w:b/>
                <w:bCs/>
                <w:i/>
                <w:iCs/>
                <w:noProof/>
              </w:rPr>
              <w:fldChar w:fldCharType="end"/>
            </w:r>
            <w:r>
              <w:rPr>
                <w:b/>
                <w:bCs/>
                <w:i/>
                <w:iCs/>
                <w:noProof/>
              </w:rPr>
              <w:fldChar w:fldCharType="end"/>
            </w:r>
          </w:p>
          <w:p w:rsidR="000511E1" w:rsidRDefault="000511E1" w:rsidP="007844D0">
            <w:pPr>
              <w:jc w:val="both"/>
            </w:pPr>
          </w:p>
        </w:tc>
      </w:tr>
      <w:tr w:rsidR="000511E1" w:rsidTr="007844D0">
        <w:trPr>
          <w:trHeight w:val="126"/>
          <w:jc w:val="center"/>
        </w:trPr>
        <w:tc>
          <w:tcPr>
            <w:tcW w:w="9598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1E1" w:rsidRDefault="000511E1" w:rsidP="007844D0">
            <w:pPr>
              <w:jc w:val="center"/>
              <w:rPr>
                <w:b/>
                <w:bCs/>
                <w:color w:val="1F497D"/>
                <w:sz w:val="36"/>
                <w:szCs w:val="36"/>
              </w:rPr>
            </w:pPr>
            <w:r w:rsidRPr="00DC5A43">
              <w:rPr>
                <w:b/>
                <w:bCs/>
                <w:color w:val="000000"/>
                <w:sz w:val="36"/>
                <w:szCs w:val="36"/>
              </w:rPr>
              <w:t>NOTA DE PRENSA</w:t>
            </w:r>
          </w:p>
        </w:tc>
      </w:tr>
      <w:tr w:rsidR="000511E1" w:rsidTr="007844D0">
        <w:trPr>
          <w:trHeight w:val="126"/>
          <w:jc w:val="center"/>
        </w:trPr>
        <w:tc>
          <w:tcPr>
            <w:tcW w:w="95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1E1" w:rsidRDefault="000511E1" w:rsidP="007844D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11E1" w:rsidTr="007844D0">
        <w:trPr>
          <w:trHeight w:val="126"/>
          <w:jc w:val="center"/>
        </w:trPr>
        <w:tc>
          <w:tcPr>
            <w:tcW w:w="9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E1" w:rsidRDefault="000511E1" w:rsidP="007844D0">
            <w:pPr>
              <w:autoSpaceDE w:val="0"/>
              <w:autoSpaceDN w:val="0"/>
              <w:jc w:val="both"/>
            </w:pPr>
          </w:p>
        </w:tc>
      </w:tr>
      <w:tr w:rsidR="000511E1" w:rsidTr="007844D0">
        <w:trPr>
          <w:trHeight w:val="126"/>
          <w:jc w:val="center"/>
        </w:trPr>
        <w:tc>
          <w:tcPr>
            <w:tcW w:w="95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1E1" w:rsidRPr="00972469" w:rsidRDefault="009A5040" w:rsidP="009A5040">
            <w:pPr>
              <w:ind w:left="360"/>
              <w:jc w:val="center"/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 w:rsidRPr="00972469">
              <w:rPr>
                <w:rFonts w:ascii="Verdana" w:hAnsi="Verdana"/>
                <w:b/>
                <w:color w:val="00B050"/>
                <w:sz w:val="28"/>
                <w:szCs w:val="28"/>
              </w:rPr>
              <w:t xml:space="preserve">Fraternidad-Muprespa </w:t>
            </w:r>
            <w:r>
              <w:rPr>
                <w:rFonts w:ascii="Verdana" w:hAnsi="Verdana"/>
                <w:b/>
                <w:color w:val="00B050"/>
                <w:sz w:val="28"/>
                <w:szCs w:val="28"/>
              </w:rPr>
              <w:t>edita la g</w:t>
            </w:r>
            <w:r w:rsidR="00972469">
              <w:rPr>
                <w:rFonts w:ascii="Verdana" w:hAnsi="Verdana"/>
                <w:b/>
                <w:color w:val="00B050"/>
                <w:sz w:val="28"/>
                <w:szCs w:val="28"/>
              </w:rPr>
              <w:t xml:space="preserve">uía de buenas prácticas en contaminantes químicos para </w:t>
            </w:r>
            <w:r w:rsidR="00972469" w:rsidRPr="009A5040">
              <w:rPr>
                <w:rFonts w:ascii="Verdana" w:hAnsi="Verdana"/>
                <w:b/>
                <w:color w:val="00B050"/>
                <w:sz w:val="28"/>
                <w:szCs w:val="28"/>
              </w:rPr>
              <w:t>pymes</w:t>
            </w:r>
            <w:r w:rsidR="00972469">
              <w:rPr>
                <w:rFonts w:ascii="Verdana" w:hAnsi="Verdana"/>
                <w:b/>
                <w:color w:val="00B050"/>
                <w:sz w:val="28"/>
                <w:szCs w:val="28"/>
              </w:rPr>
              <w:t xml:space="preserve"> </w:t>
            </w:r>
          </w:p>
        </w:tc>
      </w:tr>
      <w:tr w:rsidR="000511E1" w:rsidTr="007844D0">
        <w:trPr>
          <w:trHeight w:val="126"/>
          <w:jc w:val="center"/>
        </w:trPr>
        <w:tc>
          <w:tcPr>
            <w:tcW w:w="9598" w:type="dxa"/>
            <w:tcBorders>
              <w:top w:val="nil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1E1" w:rsidRDefault="000511E1" w:rsidP="007844D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11E1" w:rsidTr="007844D0">
        <w:trPr>
          <w:trHeight w:val="8970"/>
          <w:jc w:val="center"/>
        </w:trPr>
        <w:tc>
          <w:tcPr>
            <w:tcW w:w="9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E1" w:rsidRDefault="000511E1" w:rsidP="007844D0">
            <w:pPr>
              <w:jc w:val="both"/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</w:pPr>
          </w:p>
          <w:p w:rsidR="000511E1" w:rsidRDefault="000511E1" w:rsidP="007844D0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Madrid,</w:t>
            </w:r>
            <w:r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a</w:t>
            </w: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</w:t>
            </w:r>
            <w:r w:rsidR="002D23DC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</w:t>
            </w:r>
            <w:r w:rsidR="00C24EED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7</w:t>
            </w: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</w:t>
            </w:r>
            <w:r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de</w:t>
            </w: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julio de </w:t>
            </w:r>
            <w:r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20</w:t>
            </w: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21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0511E1" w:rsidRPr="00BB02FC" w:rsidRDefault="000511E1" w:rsidP="007844D0">
            <w:pPr>
              <w:shd w:val="clear" w:color="auto" w:fill="FFFFFF"/>
              <w:autoSpaceDE w:val="0"/>
              <w:autoSpaceDN w:val="0"/>
              <w:adjustRightInd w:val="0"/>
              <w:spacing w:after="150"/>
              <w:jc w:val="both"/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</w:pPr>
          </w:p>
          <w:p w:rsidR="00B944AA" w:rsidRPr="003E3876" w:rsidRDefault="009A5040" w:rsidP="00035E3C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150"/>
              <w:jc w:val="both"/>
              <w:rPr>
                <w:rFonts w:ascii="Verdana" w:hAnsi="Verdana" w:cs="Arial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 xml:space="preserve">El contacto con </w:t>
            </w:r>
            <w:r w:rsidRPr="009A5040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 xml:space="preserve">estos elementos puede tener efectos nocivos para la salud de quienes </w:t>
            </w:r>
            <w:r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 xml:space="preserve">los manipulan </w:t>
            </w:r>
            <w:r w:rsidRPr="009A5040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 xml:space="preserve">si no se respetan </w:t>
            </w:r>
            <w:r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>su</w:t>
            </w:r>
            <w:r w:rsidRPr="009A5040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 xml:space="preserve">s instrucciones de </w:t>
            </w:r>
            <w:r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 xml:space="preserve">uso </w:t>
            </w:r>
            <w:r w:rsidRPr="009A5040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 xml:space="preserve">y </w:t>
            </w:r>
            <w:r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>se desconocen la</w:t>
            </w:r>
            <w:r w:rsidRPr="009A5040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>s fichas de seguridad</w:t>
            </w:r>
          </w:p>
          <w:p w:rsidR="003E3876" w:rsidRPr="009A5040" w:rsidRDefault="003E3876" w:rsidP="003E3876">
            <w:pPr>
              <w:shd w:val="clear" w:color="auto" w:fill="FFFFFF"/>
              <w:autoSpaceDE w:val="0"/>
              <w:autoSpaceDN w:val="0"/>
              <w:adjustRightInd w:val="0"/>
              <w:spacing w:after="150"/>
              <w:ind w:left="720"/>
              <w:jc w:val="both"/>
              <w:rPr>
                <w:rFonts w:ascii="Verdana" w:hAnsi="Verdana" w:cs="Arial"/>
                <w:color w:val="000000"/>
                <w:sz w:val="24"/>
                <w:szCs w:val="24"/>
              </w:rPr>
            </w:pPr>
          </w:p>
          <w:p w:rsidR="009A5040" w:rsidRPr="009A5040" w:rsidRDefault="009A5040" w:rsidP="009A504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50" w:line="288" w:lineRule="auto"/>
              <w:jc w:val="both"/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</w:pPr>
            <w:r w:rsidRPr="009A5040">
              <w:rPr>
                <w:rFonts w:ascii="Verdana" w:eastAsia="Times New Roman" w:hAnsi="Verdana"/>
                <w:b/>
                <w:color w:val="000000"/>
              </w:rPr>
              <w:t xml:space="preserve">Las </w:t>
            </w:r>
            <w:r w:rsidRPr="009A5040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mujeres suele resultar más afectadas por los contaminantes y los efectos pueden suponer alteraciones menstruales, riesgo para la fertilidad o mayor sensibilidad química. </w:t>
            </w:r>
          </w:p>
          <w:p w:rsidR="00137F4D" w:rsidRPr="00137F4D" w:rsidRDefault="00137F4D" w:rsidP="00E87B50">
            <w:pPr>
              <w:spacing w:after="150" w:line="288" w:lineRule="auto"/>
              <w:jc w:val="both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Muchos productos químicos pueden, durante su fabricación, manejo, transporte, almacenamiento o uso, incorporarse al ambiente de varias formas. Estos elementos, </w:t>
            </w:r>
            <w:r w:rsidRPr="00137F4D">
              <w:rPr>
                <w:rFonts w:ascii="Verdana" w:hAnsi="Verdana"/>
                <w:color w:val="000000" w:themeColor="text1"/>
                <w:sz w:val="24"/>
                <w:szCs w:val="24"/>
              </w:rPr>
              <w:t>que pueden tener efectos perjudiciales para la salud de las personas que entran en contacto con ell</w:t>
            </w:r>
            <w:r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os, </w:t>
            </w:r>
            <w:r w:rsidRPr="00137F4D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o para el medio ambiente, se denominan </w:t>
            </w:r>
            <w:r w:rsidRPr="00137F4D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contaminantes químicos</w:t>
            </w:r>
            <w:r w:rsidRPr="00137F4D">
              <w:rPr>
                <w:rFonts w:ascii="Verdana" w:hAnsi="Verdana"/>
                <w:color w:val="000000" w:themeColor="text1"/>
                <w:sz w:val="24"/>
                <w:szCs w:val="24"/>
              </w:rPr>
              <w:t>.</w:t>
            </w:r>
          </w:p>
          <w:p w:rsidR="00B944AA" w:rsidRDefault="00137F4D" w:rsidP="00E9762F">
            <w:pPr>
              <w:spacing w:after="150" w:line="288" w:lineRule="auto"/>
              <w:jc w:val="both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>
              <w:rPr>
                <w:rFonts w:ascii="Verdana" w:hAnsi="Verdana"/>
                <w:color w:val="000000" w:themeColor="text1"/>
                <w:sz w:val="24"/>
                <w:szCs w:val="24"/>
              </w:rPr>
              <w:t>Fraternidad-Muprespa se centra</w:t>
            </w:r>
            <w:r w:rsidR="009A5040">
              <w:rPr>
                <w:rFonts w:ascii="Verdana" w:hAnsi="Verdana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en esta nueva guía de buenas prácticas en prevención de riesgos laborales</w:t>
            </w:r>
            <w:r w:rsidR="009A5040">
              <w:rPr>
                <w:rFonts w:ascii="Verdana" w:hAnsi="Verdana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en la difusión de los consejos necesarios que debe conocer todo trabajador que está en contacto con estos productos, así como la definición de </w:t>
            </w:r>
            <w:r w:rsidR="00B944AA" w:rsidRPr="00B944AA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conceptos básicos útiles para detectar </w:t>
            </w:r>
            <w:r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estos </w:t>
            </w:r>
            <w:r w:rsidR="00B944AA" w:rsidRPr="00B944AA">
              <w:rPr>
                <w:rFonts w:ascii="Verdana" w:hAnsi="Verdana"/>
                <w:color w:val="000000" w:themeColor="text1"/>
                <w:sz w:val="24"/>
                <w:szCs w:val="24"/>
              </w:rPr>
              <w:t>químicos</w:t>
            </w:r>
            <w:r w:rsidR="009A5040">
              <w:rPr>
                <w:rFonts w:ascii="Verdana" w:hAnsi="Verdana"/>
                <w:color w:val="000000" w:themeColor="text1"/>
                <w:sz w:val="24"/>
                <w:szCs w:val="24"/>
              </w:rPr>
              <w:t>. También en</w:t>
            </w:r>
            <w:r w:rsidR="00B944AA" w:rsidRPr="00B944AA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la correcta implantación de </w:t>
            </w:r>
            <w:r w:rsidR="00B944AA" w:rsidRPr="00B944AA">
              <w:rPr>
                <w:rFonts w:ascii="Verdana" w:hAnsi="Verdana"/>
                <w:color w:val="000000" w:themeColor="text1"/>
                <w:sz w:val="24"/>
                <w:szCs w:val="24"/>
              </w:rPr>
              <w:t>medidas para atajar los riesgos que puedan sobrevenir por su manipulación, uso o almacenamiento, sobre todo si no se siguen las instrucciones de los mismos.</w:t>
            </w:r>
          </w:p>
          <w:p w:rsidR="00E9762F" w:rsidRDefault="00E9762F" w:rsidP="00E9762F">
            <w:pPr>
              <w:spacing w:after="150" w:line="288" w:lineRule="auto"/>
              <w:jc w:val="both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>
              <w:rPr>
                <w:rFonts w:ascii="Verdana" w:hAnsi="Verdana"/>
                <w:color w:val="000000" w:themeColor="text1"/>
                <w:sz w:val="24"/>
                <w:szCs w:val="24"/>
              </w:rPr>
              <w:t>De hecho, los riesgos químicos son de los más graves por las consecuencias</w:t>
            </w:r>
            <w:r w:rsidR="009A5040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que conllevan</w:t>
            </w:r>
            <w:r>
              <w:rPr>
                <w:rFonts w:ascii="Verdana" w:hAnsi="Verdana"/>
                <w:color w:val="000000" w:themeColor="text1"/>
                <w:sz w:val="24"/>
                <w:szCs w:val="24"/>
              </w:rPr>
              <w:t>, por tanto es vita</w:t>
            </w:r>
            <w:r w:rsidR="00363507">
              <w:rPr>
                <w:rFonts w:ascii="Verdana" w:hAnsi="Verdana"/>
                <w:color w:val="000000" w:themeColor="text1"/>
                <w:sz w:val="24"/>
                <w:szCs w:val="24"/>
              </w:rPr>
              <w:t>l</w:t>
            </w:r>
            <w:bookmarkStart w:id="0" w:name="_GoBack"/>
            <w:bookmarkEnd w:id="0"/>
            <w:r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prestar </w:t>
            </w:r>
            <w:r w:rsidRPr="00E9762F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especial atención al </w:t>
            </w:r>
            <w:r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etiquetado de los productos, así como a las fichas de seguridad de los mismos. </w:t>
            </w:r>
          </w:p>
          <w:p w:rsidR="00137F4D" w:rsidRDefault="00137F4D" w:rsidP="00E9762F">
            <w:pPr>
              <w:spacing w:after="150" w:line="288" w:lineRule="auto"/>
              <w:jc w:val="both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Las pymes </w:t>
            </w:r>
            <w:r w:rsidR="009A5040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son de las empresas </w:t>
            </w:r>
            <w:r>
              <w:rPr>
                <w:rFonts w:ascii="Verdana" w:hAnsi="Verdana"/>
                <w:color w:val="000000" w:themeColor="text1"/>
                <w:sz w:val="24"/>
                <w:szCs w:val="24"/>
              </w:rPr>
              <w:t>más expuestas a estos riesgos</w:t>
            </w:r>
            <w:r w:rsidR="009A5040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, desde </w:t>
            </w:r>
            <w:r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una </w:t>
            </w:r>
            <w:r w:rsidRPr="00137F4D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peluquería </w:t>
            </w:r>
            <w:r w:rsidR="009A5040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a un </w:t>
            </w:r>
            <w:r w:rsidRPr="00137F4D">
              <w:rPr>
                <w:rFonts w:ascii="Verdana" w:hAnsi="Verdana"/>
                <w:color w:val="000000" w:themeColor="text1"/>
                <w:sz w:val="24"/>
                <w:szCs w:val="24"/>
              </w:rPr>
              <w:t>taller de vehículos.</w:t>
            </w:r>
            <w:r w:rsidR="00736D8E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Además m</w:t>
            </w:r>
            <w:r w:rsidRPr="00137F4D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uchos de </w:t>
            </w:r>
            <w:r w:rsidR="00736D8E">
              <w:rPr>
                <w:rFonts w:ascii="Verdana" w:hAnsi="Verdana"/>
                <w:color w:val="000000" w:themeColor="text1"/>
                <w:sz w:val="24"/>
                <w:szCs w:val="24"/>
              </w:rPr>
              <w:t>esto</w:t>
            </w:r>
            <w:r w:rsidRPr="00137F4D">
              <w:rPr>
                <w:rFonts w:ascii="Verdana" w:hAnsi="Verdana"/>
                <w:color w:val="000000" w:themeColor="text1"/>
                <w:sz w:val="24"/>
                <w:szCs w:val="24"/>
              </w:rPr>
              <w:t>s productos</w:t>
            </w:r>
            <w:r w:rsidR="003E3876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, aunque se vinculan al ámbito </w:t>
            </w:r>
            <w:r w:rsidRPr="00137F4D">
              <w:rPr>
                <w:rFonts w:ascii="Verdana" w:hAnsi="Verdana"/>
                <w:color w:val="000000" w:themeColor="text1"/>
                <w:sz w:val="24"/>
                <w:szCs w:val="24"/>
              </w:rPr>
              <w:t>industrial, acaban siendo</w:t>
            </w:r>
            <w:r w:rsidR="00736D8E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</w:t>
            </w:r>
            <w:r w:rsidRPr="00137F4D">
              <w:rPr>
                <w:rFonts w:ascii="Verdana" w:hAnsi="Verdana"/>
                <w:color w:val="000000" w:themeColor="text1"/>
                <w:sz w:val="24"/>
                <w:szCs w:val="24"/>
              </w:rPr>
              <w:t>utilizados en los hogares y en la vida cotidiana</w:t>
            </w:r>
            <w:r w:rsidR="00736D8E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</w:t>
            </w:r>
            <w:r w:rsidRPr="00137F4D">
              <w:rPr>
                <w:rFonts w:ascii="Verdana" w:hAnsi="Verdana"/>
                <w:color w:val="000000" w:themeColor="text1"/>
                <w:sz w:val="24"/>
                <w:szCs w:val="24"/>
              </w:rPr>
              <w:t>(desengrasantes, lejías, pinturas…)</w:t>
            </w:r>
            <w:r w:rsidR="00736D8E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y pueden </w:t>
            </w:r>
            <w:r w:rsidR="00736D8E">
              <w:rPr>
                <w:rFonts w:ascii="Verdana" w:hAnsi="Verdana"/>
                <w:color w:val="000000" w:themeColor="text1"/>
                <w:sz w:val="24"/>
                <w:szCs w:val="24"/>
              </w:rPr>
              <w:lastRenderedPageBreak/>
              <w:t>acceder al cuerpo humano vía respiratoria, dérmica, digestiva, parent</w:t>
            </w:r>
            <w:r w:rsidR="003E3876">
              <w:rPr>
                <w:rFonts w:ascii="Verdana" w:hAnsi="Verdana"/>
                <w:color w:val="000000" w:themeColor="text1"/>
                <w:sz w:val="24"/>
                <w:szCs w:val="24"/>
              </w:rPr>
              <w:t>er</w:t>
            </w:r>
            <w:r w:rsidR="00736D8E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al o por absorción de mucosas. </w:t>
            </w:r>
          </w:p>
          <w:p w:rsidR="003E3876" w:rsidRPr="003E3876" w:rsidRDefault="003E3876" w:rsidP="00E9762F">
            <w:pPr>
              <w:spacing w:after="150" w:line="288" w:lineRule="auto"/>
              <w:jc w:val="both"/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</w:pPr>
            <w:r w:rsidRPr="003E3876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¿Qué efectos pueden provocar los contaminantes químicos?</w:t>
            </w:r>
          </w:p>
          <w:p w:rsidR="00137F4D" w:rsidRDefault="00736D8E" w:rsidP="00E87B50">
            <w:pPr>
              <w:autoSpaceDE w:val="0"/>
              <w:autoSpaceDN w:val="0"/>
              <w:adjustRightInd w:val="0"/>
              <w:spacing w:after="150" w:line="288" w:lineRule="auto"/>
              <w:jc w:val="both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Los efectos adversos pueden variar dependiendo del momento de la exposición y del equilibrio hormonal de la persona expuesta. </w:t>
            </w:r>
            <w:r w:rsidR="003E3876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La </w:t>
            </w:r>
            <w:r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edad y</w:t>
            </w:r>
            <w:r w:rsidR="003E3876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el</w:t>
            </w:r>
            <w:r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sexo, entre otros factores, pueden provocar efectos adversos mayores. Las mujeres suele</w:t>
            </w:r>
            <w:r w:rsidR="003E3876">
              <w:rPr>
                <w:rFonts w:ascii="Verdana" w:hAnsi="Verdana"/>
                <w:color w:val="000000" w:themeColor="text1"/>
                <w:sz w:val="24"/>
                <w:szCs w:val="24"/>
              </w:rPr>
              <w:t>n</w:t>
            </w:r>
            <w:r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resultar más afectadas por </w:t>
            </w:r>
            <w:r w:rsidR="003E3876">
              <w:rPr>
                <w:rFonts w:ascii="Verdana" w:hAnsi="Verdana"/>
                <w:color w:val="000000" w:themeColor="text1"/>
                <w:sz w:val="24"/>
                <w:szCs w:val="24"/>
              </w:rPr>
              <w:t>el</w:t>
            </w:r>
            <w:r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los y los efectos pueden </w:t>
            </w:r>
            <w:r w:rsidR="003E3876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ir de </w:t>
            </w:r>
            <w:r>
              <w:rPr>
                <w:rFonts w:ascii="Verdana" w:hAnsi="Verdana"/>
                <w:color w:val="000000" w:themeColor="text1"/>
                <w:sz w:val="24"/>
                <w:szCs w:val="24"/>
              </w:rPr>
              <w:t>alteraciones menstruales</w:t>
            </w:r>
            <w:r w:rsidR="003E3876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a</w:t>
            </w:r>
            <w:r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riesgo para la fertilidad. </w:t>
            </w:r>
          </w:p>
          <w:p w:rsidR="00E87B50" w:rsidRDefault="00736D8E" w:rsidP="00E87B50">
            <w:pPr>
              <w:autoSpaceDE w:val="0"/>
              <w:autoSpaceDN w:val="0"/>
              <w:adjustRightInd w:val="0"/>
              <w:spacing w:after="150" w:line="288" w:lineRule="auto"/>
              <w:jc w:val="both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E87B50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Los productos químicos se pueden clasificar según </w:t>
            </w:r>
            <w:r w:rsidR="00E87B50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sus </w:t>
            </w:r>
            <w:r w:rsidRPr="00E87B50">
              <w:rPr>
                <w:rFonts w:ascii="Verdana" w:hAnsi="Verdana"/>
                <w:color w:val="000000" w:themeColor="text1"/>
                <w:sz w:val="24"/>
                <w:szCs w:val="24"/>
              </w:rPr>
              <w:t>propiedades físi</w:t>
            </w:r>
            <w:r w:rsidR="00E87B50">
              <w:rPr>
                <w:rFonts w:ascii="Verdana" w:hAnsi="Verdana"/>
                <w:color w:val="000000" w:themeColor="text1"/>
                <w:sz w:val="24"/>
                <w:szCs w:val="24"/>
              </w:rPr>
              <w:t>cas y</w:t>
            </w:r>
            <w:r w:rsidR="003E3876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según </w:t>
            </w:r>
            <w:r w:rsidR="00E87B50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sus efectos para el organismo. </w:t>
            </w:r>
            <w:r w:rsidR="003E3876">
              <w:rPr>
                <w:rFonts w:ascii="Verdana" w:hAnsi="Verdana"/>
                <w:color w:val="000000" w:themeColor="text1"/>
                <w:sz w:val="24"/>
                <w:szCs w:val="24"/>
              </w:rPr>
              <w:t>L</w:t>
            </w:r>
            <w:r w:rsidR="00E87B50">
              <w:rPr>
                <w:rFonts w:ascii="Verdana" w:hAnsi="Verdana"/>
                <w:color w:val="000000" w:themeColor="text1"/>
                <w:sz w:val="24"/>
                <w:szCs w:val="24"/>
              </w:rPr>
              <w:t>as primeras se refieren a la m</w:t>
            </w:r>
            <w:r w:rsidRPr="00E87B50">
              <w:rPr>
                <w:rFonts w:ascii="Verdana" w:hAnsi="Verdana"/>
                <w:color w:val="000000" w:themeColor="text1"/>
                <w:sz w:val="24"/>
                <w:szCs w:val="24"/>
              </w:rPr>
              <w:t>anera que tienen los productos</w:t>
            </w:r>
            <w:r w:rsidR="00E87B50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</w:t>
            </w:r>
            <w:r w:rsidRPr="00E87B50">
              <w:rPr>
                <w:rFonts w:ascii="Verdana" w:hAnsi="Verdana"/>
                <w:color w:val="000000" w:themeColor="text1"/>
                <w:sz w:val="24"/>
                <w:szCs w:val="24"/>
              </w:rPr>
              <w:t>químicos de reaccionar con el entorno,</w:t>
            </w:r>
            <w:r w:rsidR="00E87B50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</w:t>
            </w:r>
            <w:r w:rsidRPr="00E87B50">
              <w:rPr>
                <w:rFonts w:ascii="Verdana" w:hAnsi="Verdana"/>
                <w:color w:val="000000" w:themeColor="text1"/>
                <w:sz w:val="24"/>
                <w:szCs w:val="24"/>
              </w:rPr>
              <w:t>para lo cual se tiene que prestar especial</w:t>
            </w:r>
            <w:r w:rsidR="00E87B50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</w:t>
            </w:r>
            <w:r w:rsidRPr="00E87B50">
              <w:rPr>
                <w:rFonts w:ascii="Verdana" w:hAnsi="Verdana"/>
                <w:color w:val="000000" w:themeColor="text1"/>
                <w:sz w:val="24"/>
                <w:szCs w:val="24"/>
              </w:rPr>
              <w:t>atención a su envasado y manipulación.</w:t>
            </w:r>
            <w:r w:rsidR="00E87B50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Se clasifican en </w:t>
            </w:r>
            <w:r w:rsidR="00E87B50" w:rsidRPr="003E3876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explosivos, combustibles, comburentes, inflamables, fácilmente inflamables y extremadamente inflamables</w:t>
            </w:r>
            <w:r w:rsidR="00E87B50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. </w:t>
            </w:r>
          </w:p>
          <w:p w:rsidR="00736D8E" w:rsidRPr="00E87B50" w:rsidRDefault="003E3876" w:rsidP="00E87B50">
            <w:pPr>
              <w:autoSpaceDE w:val="0"/>
              <w:autoSpaceDN w:val="0"/>
              <w:adjustRightInd w:val="0"/>
              <w:spacing w:after="150" w:line="288" w:lineRule="auto"/>
              <w:jc w:val="both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Según sus efectos sobre el organismo y </w:t>
            </w:r>
            <w:r w:rsidR="00E87B50" w:rsidRPr="00E87B50">
              <w:rPr>
                <w:rFonts w:ascii="Verdana" w:hAnsi="Verdana"/>
                <w:color w:val="000000" w:themeColor="text1"/>
                <w:sz w:val="24"/>
                <w:szCs w:val="24"/>
              </w:rPr>
              <w:t>los peligros</w:t>
            </w:r>
            <w:r w:rsidR="00E87B50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que pueden implicar para </w:t>
            </w:r>
            <w:r w:rsidR="00E87B50" w:rsidRPr="00E87B50">
              <w:rPr>
                <w:rFonts w:ascii="Verdana" w:hAnsi="Verdana"/>
                <w:color w:val="000000" w:themeColor="text1"/>
                <w:sz w:val="24"/>
                <w:szCs w:val="24"/>
              </w:rPr>
              <w:t>las</w:t>
            </w:r>
            <w:r w:rsidR="00E87B50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</w:t>
            </w:r>
            <w:r w:rsidR="00E87B50" w:rsidRPr="00E87B50">
              <w:rPr>
                <w:rFonts w:ascii="Verdana" w:hAnsi="Verdana"/>
                <w:color w:val="000000" w:themeColor="text1"/>
                <w:sz w:val="24"/>
                <w:szCs w:val="24"/>
              </w:rPr>
              <w:t>personas y con el medio ambiente</w:t>
            </w:r>
            <w:r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, se </w:t>
            </w:r>
            <w:r w:rsidR="00E87B50" w:rsidRPr="00E87B50">
              <w:rPr>
                <w:rFonts w:ascii="Verdana" w:hAnsi="Verdana"/>
                <w:color w:val="000000" w:themeColor="text1"/>
                <w:sz w:val="24"/>
                <w:szCs w:val="24"/>
              </w:rPr>
              <w:t>clasifican en</w:t>
            </w:r>
            <w:r w:rsidR="00E87B50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</w:t>
            </w:r>
            <w:r w:rsidR="00A15F16" w:rsidRPr="003E3876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m</w:t>
            </w:r>
            <w:r w:rsidR="00E87B50" w:rsidRPr="003E3876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uy tóxicos, tóxicos, nocivos, corrosivos, irritantes y sensibilizantes</w:t>
            </w:r>
            <w:r w:rsidR="00E87B50" w:rsidRPr="00E87B50">
              <w:rPr>
                <w:rFonts w:ascii="Verdana" w:hAnsi="Verdana"/>
                <w:color w:val="000000" w:themeColor="text1"/>
                <w:sz w:val="24"/>
                <w:szCs w:val="24"/>
              </w:rPr>
              <w:t>.</w:t>
            </w:r>
            <w:r w:rsidR="00A15F16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</w:t>
            </w:r>
            <w:r w:rsidR="00E87B50" w:rsidRPr="00E87B50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</w:t>
            </w:r>
          </w:p>
          <w:p w:rsidR="00972469" w:rsidRDefault="00972469" w:rsidP="00972469">
            <w:pPr>
              <w:spacing w:after="150" w:line="288" w:lineRule="auto"/>
              <w:jc w:val="both"/>
              <w:rPr>
                <w:rFonts w:ascii="Verdana" w:hAnsi="Verdana"/>
                <w:color w:val="666666"/>
                <w:sz w:val="24"/>
                <w:szCs w:val="24"/>
              </w:rPr>
            </w:pPr>
            <w:r w:rsidRPr="00D23E05">
              <w:rPr>
                <w:rFonts w:ascii="Verdana" w:hAnsi="Verdana" w:cs="Arial"/>
                <w:color w:val="000000"/>
                <w:sz w:val="24"/>
                <w:szCs w:val="24"/>
              </w:rPr>
              <w:t xml:space="preserve">Todas las guías de buenas prácticas repiten una misma estructura ágil y accesible. Nuestros mutualistas tienen </w:t>
            </w:r>
            <w:hyperlink r:id="rId7" w:history="1">
              <w:r w:rsidRPr="00420DF6">
                <w:rPr>
                  <w:rStyle w:val="Hipervnculo"/>
                  <w:rFonts w:ascii="Verdana" w:hAnsi="Verdana"/>
                  <w:sz w:val="24"/>
                  <w:szCs w:val="24"/>
                </w:rPr>
                <w:t>acceso online</w:t>
              </w:r>
            </w:hyperlink>
            <w:r w:rsidRPr="00420DF6">
              <w:rPr>
                <w:rStyle w:val="Hipervnculo"/>
                <w:color w:val="F56300"/>
                <w:u w:val="none"/>
              </w:rPr>
              <w:t xml:space="preserve"> </w:t>
            </w:r>
            <w:r w:rsidRPr="00D23E05">
              <w:rPr>
                <w:rFonts w:ascii="Verdana" w:hAnsi="Verdana" w:cs="Arial"/>
                <w:color w:val="000000"/>
                <w:sz w:val="24"/>
                <w:szCs w:val="24"/>
              </w:rPr>
              <w:t>a ellas desde el portal</w:t>
            </w:r>
            <w:r w:rsidRPr="00D23E05">
              <w:rPr>
                <w:rFonts w:ascii="Verdana" w:hAnsi="Verdana"/>
                <w:color w:val="666666"/>
                <w:sz w:val="24"/>
                <w:szCs w:val="24"/>
              </w:rPr>
              <w:t> </w:t>
            </w:r>
            <w:hyperlink r:id="rId8" w:history="1">
              <w:r w:rsidRPr="00D23E05">
                <w:rPr>
                  <w:rStyle w:val="Hipervnculo"/>
                  <w:rFonts w:ascii="Verdana" w:hAnsi="Verdana"/>
                  <w:color w:val="F56300"/>
                  <w:sz w:val="24"/>
                  <w:szCs w:val="24"/>
                </w:rPr>
                <w:t>Previene</w:t>
              </w:r>
            </w:hyperlink>
            <w:r>
              <w:rPr>
                <w:rStyle w:val="Hipervnculo"/>
                <w:rFonts w:ascii="Verdana" w:hAnsi="Verdana"/>
                <w:color w:val="F56300"/>
                <w:sz w:val="24"/>
                <w:szCs w:val="24"/>
              </w:rPr>
              <w:t xml:space="preserve"> </w:t>
            </w:r>
            <w:r w:rsidRPr="00D23E05">
              <w:rPr>
                <w:rFonts w:ascii="Verdana" w:hAnsi="Verdana" w:cs="Arial"/>
                <w:color w:val="000000"/>
                <w:sz w:val="24"/>
                <w:szCs w:val="24"/>
              </w:rPr>
              <w:t xml:space="preserve">a través del </w:t>
            </w:r>
            <w:hyperlink r:id="rId9" w:history="1">
              <w:r w:rsidRPr="00D23E05">
                <w:rPr>
                  <w:rStyle w:val="Hipervnculo"/>
                  <w:rFonts w:ascii="Verdana" w:hAnsi="Verdana"/>
                  <w:color w:val="F56300"/>
                  <w:sz w:val="24"/>
                  <w:szCs w:val="24"/>
                </w:rPr>
                <w:t>Aula</w:t>
              </w:r>
            </w:hyperlink>
            <w:hyperlink r:id="rId10" w:tgtFrame="_blank" w:history="1">
              <w:r w:rsidRPr="00D23E05">
                <w:rPr>
                  <w:rStyle w:val="Hipervnculo"/>
                  <w:rFonts w:ascii="Verdana" w:hAnsi="Verdana"/>
                  <w:color w:val="F56300"/>
                  <w:sz w:val="24"/>
                  <w:szCs w:val="24"/>
                </w:rPr>
                <w:t> Prevención</w:t>
              </w:r>
            </w:hyperlink>
            <w:r w:rsidRPr="00D23E05">
              <w:rPr>
                <w:rFonts w:ascii="Verdana" w:hAnsi="Verdana"/>
                <w:color w:val="666666"/>
                <w:sz w:val="24"/>
                <w:szCs w:val="24"/>
              </w:rPr>
              <w:t xml:space="preserve">. </w:t>
            </w:r>
          </w:p>
          <w:p w:rsidR="003E3876" w:rsidRDefault="003E3876" w:rsidP="00972469">
            <w:pPr>
              <w:spacing w:after="150" w:line="288" w:lineRule="auto"/>
              <w:jc w:val="both"/>
              <w:rPr>
                <w:rFonts w:ascii="Verdana" w:hAnsi="Verdana"/>
                <w:color w:val="666666"/>
                <w:sz w:val="24"/>
                <w:szCs w:val="24"/>
              </w:rPr>
            </w:pPr>
          </w:p>
          <w:p w:rsidR="00972469" w:rsidRDefault="00972469" w:rsidP="00972469">
            <w:pPr>
              <w:pStyle w:val="Prrafodelista"/>
              <w:spacing w:after="0" w:line="240" w:lineRule="auto"/>
              <w:ind w:left="0" w:right="142"/>
              <w:jc w:val="center"/>
              <w:rPr>
                <w:rFonts w:ascii="Verdana" w:hAnsi="Verdana" w:cs="Calibri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Verdana" w:hAnsi="Verdana" w:cs="Calibri"/>
                <w:noProof/>
                <w:color w:val="000000" w:themeColor="text1"/>
                <w:sz w:val="24"/>
                <w:szCs w:val="24"/>
                <w:lang w:eastAsia="es-ES"/>
              </w:rPr>
              <w:drawing>
                <wp:inline distT="0" distB="0" distL="0" distR="0">
                  <wp:extent cx="4804475" cy="3381889"/>
                  <wp:effectExtent l="0" t="0" r="0" b="952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ortada de la guía de buenas prácticas en contaminantes químicos para pymes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875" cy="3409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2469" w:rsidRPr="00E87B50" w:rsidRDefault="00972469" w:rsidP="007844D0">
            <w:pPr>
              <w:pStyle w:val="Prrafodelista"/>
              <w:spacing w:after="0" w:line="240" w:lineRule="auto"/>
              <w:ind w:left="0" w:right="142"/>
              <w:rPr>
                <w:rFonts w:ascii="Verdana" w:hAnsi="Verdana" w:cs="Calibri"/>
                <w:color w:val="000000" w:themeColor="text1"/>
                <w:sz w:val="24"/>
                <w:szCs w:val="24"/>
                <w:lang w:eastAsia="es-ES"/>
              </w:rPr>
            </w:pPr>
          </w:p>
          <w:p w:rsidR="00137F4D" w:rsidRDefault="00137F4D" w:rsidP="007844D0">
            <w:pPr>
              <w:pStyle w:val="Prrafodelista"/>
              <w:spacing w:after="0" w:line="240" w:lineRule="auto"/>
              <w:ind w:left="0" w:right="142"/>
              <w:rPr>
                <w:rFonts w:cs="Calibri"/>
                <w:szCs w:val="24"/>
              </w:rPr>
            </w:pPr>
          </w:p>
          <w:tbl>
            <w:tblPr>
              <w:tblW w:w="9068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68"/>
            </w:tblGrid>
            <w:tr w:rsidR="00047137" w:rsidRPr="00E30068" w:rsidTr="00BD3376">
              <w:trPr>
                <w:trHeight w:val="571"/>
                <w:jc w:val="center"/>
              </w:trPr>
              <w:tc>
                <w:tcPr>
                  <w:tcW w:w="9068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944AA" w:rsidRDefault="00B944AA" w:rsidP="00047137">
                  <w:pPr>
                    <w:jc w:val="center"/>
                    <w:rPr>
                      <w:b/>
                    </w:rPr>
                  </w:pPr>
                </w:p>
                <w:p w:rsidR="00047137" w:rsidRPr="00435DCB" w:rsidRDefault="00047137" w:rsidP="00047137">
                  <w:pPr>
                    <w:jc w:val="center"/>
                    <w:rPr>
                      <w:b/>
                    </w:rPr>
                  </w:pPr>
                  <w:r w:rsidRPr="00435DCB">
                    <w:rPr>
                      <w:b/>
                    </w:rPr>
                    <w:t xml:space="preserve">Sobre Fraternidad-Muprespa: </w:t>
                  </w:r>
                </w:p>
                <w:p w:rsidR="00047137" w:rsidRPr="00435DCB" w:rsidRDefault="00047137" w:rsidP="00047137">
                  <w:pPr>
                    <w:pStyle w:val="Cita"/>
                    <w:spacing w:before="0" w:after="0" w:line="240" w:lineRule="auto"/>
                    <w:rPr>
                      <w:rFonts w:ascii="Calibri" w:hAnsi="Calibri" w:cs="Calibri"/>
                      <w:sz w:val="20"/>
                      <w:szCs w:val="22"/>
                      <w:lang w:val="es-ES"/>
                    </w:rPr>
                  </w:pPr>
                  <w:r w:rsidRPr="00435DCB">
                    <w:rPr>
                      <w:rFonts w:ascii="Calibri" w:hAnsi="Calibri" w:cs="Calibri"/>
                      <w:color w:val="auto"/>
                      <w:kern w:val="0"/>
                      <w:sz w:val="20"/>
                      <w:szCs w:val="22"/>
                      <w:lang w:val="es-ES" w:eastAsia="en-US"/>
                    </w:rPr>
                    <w:t xml:space="preserve">Mutua Colaboradora con la Seguridad Social nº 275, tiene por actividad el tratamiento integral de los accidentes de trabajo y enfermedades profesionales, en su vertiente económica, sanitaria, recuperadora y preventiva. </w:t>
                  </w:r>
                  <w:r w:rsidRPr="00435DCB">
                    <w:rPr>
                      <w:rFonts w:ascii="Calibri" w:hAnsi="Calibri" w:cs="Calibri"/>
                      <w:color w:val="auto"/>
                      <w:kern w:val="0"/>
                      <w:sz w:val="20"/>
                      <w:szCs w:val="22"/>
                      <w:lang w:val="es-ES" w:eastAsia="es-ES"/>
                    </w:rPr>
                    <w:t>Tiene asociadas 117.965 empresas y 1.416.811</w:t>
                  </w:r>
                  <w:r w:rsidRPr="00435DCB">
                    <w:rPr>
                      <w:b/>
                      <w:color w:val="000000"/>
                      <w:sz w:val="20"/>
                      <w:szCs w:val="24"/>
                    </w:rPr>
                    <w:t xml:space="preserve"> </w:t>
                  </w:r>
                  <w:r w:rsidRPr="00435DCB">
                    <w:rPr>
                      <w:rFonts w:ascii="Calibri" w:hAnsi="Calibri" w:cs="Calibri"/>
                      <w:color w:val="auto"/>
                      <w:kern w:val="0"/>
                      <w:sz w:val="20"/>
                      <w:szCs w:val="22"/>
                      <w:lang w:val="es-ES" w:eastAsia="es-ES"/>
                    </w:rPr>
                    <w:t>trabajadores, velando por ellos, una plantilla de 2.027 empleados y 1</w:t>
                  </w:r>
                  <w:r>
                    <w:rPr>
                      <w:rFonts w:ascii="Calibri" w:hAnsi="Calibri" w:cs="Calibri"/>
                      <w:color w:val="auto"/>
                      <w:kern w:val="0"/>
                      <w:sz w:val="20"/>
                      <w:szCs w:val="22"/>
                      <w:lang w:val="es-ES" w:eastAsia="es-ES"/>
                    </w:rPr>
                    <w:t>20</w:t>
                  </w:r>
                  <w:r w:rsidRPr="00435DCB">
                    <w:rPr>
                      <w:rFonts w:ascii="Calibri" w:hAnsi="Calibri" w:cs="Calibri"/>
                      <w:color w:val="auto"/>
                      <w:kern w:val="0"/>
                      <w:sz w:val="20"/>
                      <w:szCs w:val="22"/>
                      <w:lang w:val="es-ES" w:eastAsia="es-ES"/>
                    </w:rPr>
                    <w:t xml:space="preserve"> centros asistenciales y administrativos en toda España.</w:t>
                  </w:r>
                  <w:r w:rsidRPr="00435DCB">
                    <w:rPr>
                      <w:rFonts w:ascii="Calibri" w:hAnsi="Calibri" w:cs="Calibri"/>
                      <w:sz w:val="20"/>
                      <w:szCs w:val="22"/>
                      <w:lang w:val="es-ES"/>
                    </w:rPr>
                    <w:t xml:space="preserve"> </w:t>
                  </w:r>
                </w:p>
                <w:p w:rsidR="00047137" w:rsidRPr="00435DCB" w:rsidRDefault="00363507" w:rsidP="00047137">
                  <w:pPr>
                    <w:pStyle w:val="Cita"/>
                    <w:spacing w:before="0" w:after="0" w:line="240" w:lineRule="auto"/>
                    <w:jc w:val="center"/>
                    <w:rPr>
                      <w:sz w:val="20"/>
                    </w:rPr>
                  </w:pPr>
                  <w:hyperlink r:id="rId12" w:history="1">
                    <w:r w:rsidR="00047137" w:rsidRPr="00435DCB">
                      <w:rPr>
                        <w:rStyle w:val="Hipervnculo"/>
                        <w:rFonts w:eastAsia="Times New Roman"/>
                        <w:sz w:val="20"/>
                      </w:rPr>
                      <w:t>fraternidad.com</w:t>
                    </w:r>
                  </w:hyperlink>
                </w:p>
                <w:p w:rsidR="00047137" w:rsidRPr="00435DCB" w:rsidRDefault="00047137" w:rsidP="00047137">
                  <w:pPr>
                    <w:rPr>
                      <w:sz w:val="20"/>
                      <w:lang w:val="x-none" w:eastAsia="ja-JP"/>
                    </w:rPr>
                  </w:pPr>
                </w:p>
              </w:tc>
            </w:tr>
            <w:tr w:rsidR="00047137" w:rsidRPr="00E30068" w:rsidTr="00BD3376">
              <w:trPr>
                <w:trHeight w:val="275"/>
                <w:jc w:val="center"/>
              </w:trPr>
              <w:tc>
                <w:tcPr>
                  <w:tcW w:w="9068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7137" w:rsidRPr="00435DCB" w:rsidRDefault="00047137" w:rsidP="00047137">
                  <w:pPr>
                    <w:jc w:val="center"/>
                    <w:rPr>
                      <w:b/>
                      <w:bCs/>
                      <w:sz w:val="20"/>
                      <w:szCs w:val="18"/>
                    </w:rPr>
                  </w:pPr>
                  <w:r w:rsidRPr="00435DCB">
                    <w:rPr>
                      <w:b/>
                      <w:bCs/>
                      <w:sz w:val="20"/>
                      <w:szCs w:val="18"/>
                    </w:rPr>
                    <w:t>GABINETE DE PRENSA</w:t>
                  </w:r>
                </w:p>
                <w:p w:rsidR="00047137" w:rsidRPr="00435DCB" w:rsidRDefault="00363507" w:rsidP="00047137">
                  <w:pPr>
                    <w:jc w:val="center"/>
                    <w:rPr>
                      <w:b/>
                      <w:bCs/>
                      <w:sz w:val="20"/>
                      <w:szCs w:val="18"/>
                    </w:rPr>
                  </w:pPr>
                  <w:hyperlink r:id="rId13" w:history="1">
                    <w:r w:rsidR="00047137" w:rsidRPr="00435DCB">
                      <w:rPr>
                        <w:b/>
                        <w:bCs/>
                        <w:sz w:val="20"/>
                        <w:szCs w:val="18"/>
                      </w:rPr>
                      <w:t>gabineteprensa@fraternidad.com</w:t>
                    </w:r>
                  </w:hyperlink>
                </w:p>
                <w:p w:rsidR="00047137" w:rsidRDefault="00047137" w:rsidP="00047137">
                  <w:pPr>
                    <w:jc w:val="center"/>
                    <w:rPr>
                      <w:b/>
                      <w:bCs/>
                      <w:sz w:val="20"/>
                      <w:szCs w:val="18"/>
                    </w:rPr>
                  </w:pPr>
                  <w:r w:rsidRPr="00435DCB">
                    <w:rPr>
                      <w:b/>
                      <w:bCs/>
                      <w:sz w:val="20"/>
                      <w:szCs w:val="18"/>
                    </w:rPr>
                    <w:t>C/ Cervantes, 44, 1º Izquierda. 28014, Madrid</w:t>
                  </w:r>
                </w:p>
                <w:p w:rsidR="00B944AA" w:rsidRPr="00435DCB" w:rsidRDefault="00B944AA" w:rsidP="00047137">
                  <w:pPr>
                    <w:jc w:val="center"/>
                    <w:rPr>
                      <w:b/>
                      <w:bCs/>
                      <w:i/>
                      <w:iCs/>
                      <w:sz w:val="20"/>
                    </w:rPr>
                  </w:pPr>
                </w:p>
              </w:tc>
            </w:tr>
          </w:tbl>
          <w:p w:rsidR="000511E1" w:rsidRPr="00530184" w:rsidRDefault="000511E1" w:rsidP="007844D0">
            <w:pPr>
              <w:jc w:val="both"/>
              <w:rPr>
                <w:rFonts w:ascii="Verdana" w:hAnsi="Verdana"/>
              </w:rPr>
            </w:pPr>
          </w:p>
        </w:tc>
      </w:tr>
    </w:tbl>
    <w:p w:rsidR="004C1B28" w:rsidRDefault="004C1B28" w:rsidP="000511E1"/>
    <w:sectPr w:rsidR="004C1B28" w:rsidSect="00F352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2049F6"/>
    <w:multiLevelType w:val="hybridMultilevel"/>
    <w:tmpl w:val="FFD431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A0"/>
    <w:rsid w:val="00047137"/>
    <w:rsid w:val="000511E1"/>
    <w:rsid w:val="000C40CF"/>
    <w:rsid w:val="00137F4D"/>
    <w:rsid w:val="002534A0"/>
    <w:rsid w:val="002D23DC"/>
    <w:rsid w:val="00363507"/>
    <w:rsid w:val="003E3876"/>
    <w:rsid w:val="00420DF6"/>
    <w:rsid w:val="004C1B28"/>
    <w:rsid w:val="00736D8E"/>
    <w:rsid w:val="00894D46"/>
    <w:rsid w:val="009349DE"/>
    <w:rsid w:val="00972469"/>
    <w:rsid w:val="009A5040"/>
    <w:rsid w:val="00A15F16"/>
    <w:rsid w:val="00A26C5C"/>
    <w:rsid w:val="00B944AA"/>
    <w:rsid w:val="00C24EED"/>
    <w:rsid w:val="00E87B50"/>
    <w:rsid w:val="00E9762F"/>
    <w:rsid w:val="00EA3EA0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25133F4-3C61-4222-96B5-63D9F473F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1E1"/>
    <w:pPr>
      <w:spacing w:after="0" w:line="240" w:lineRule="auto"/>
    </w:pPr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0511E1"/>
    <w:rPr>
      <w:color w:val="0000FF"/>
      <w:u w:val="single"/>
    </w:rPr>
  </w:style>
  <w:style w:type="paragraph" w:styleId="Cita">
    <w:name w:val="Quote"/>
    <w:basedOn w:val="Normal"/>
    <w:next w:val="Normal"/>
    <w:link w:val="CitaCar"/>
    <w:uiPriority w:val="9"/>
    <w:qFormat/>
    <w:rsid w:val="000511E1"/>
    <w:pPr>
      <w:spacing w:before="40" w:after="160" w:line="288" w:lineRule="auto"/>
      <w:jc w:val="both"/>
    </w:pPr>
    <w:rPr>
      <w:rFonts w:ascii="Verdana" w:hAnsi="Verdana" w:cs="Times New Roman"/>
      <w:color w:val="595959"/>
      <w:kern w:val="20"/>
      <w:szCs w:val="20"/>
      <w:lang w:val="x-none" w:eastAsia="ja-JP"/>
    </w:rPr>
  </w:style>
  <w:style w:type="character" w:customStyle="1" w:styleId="CitaCar">
    <w:name w:val="Cita Car"/>
    <w:basedOn w:val="Fuentedeprrafopredeter"/>
    <w:link w:val="Cita"/>
    <w:uiPriority w:val="9"/>
    <w:rsid w:val="000511E1"/>
    <w:rPr>
      <w:rFonts w:ascii="Verdana" w:eastAsia="Calibri" w:hAnsi="Verdana" w:cs="Times New Roman"/>
      <w:color w:val="595959"/>
      <w:kern w:val="20"/>
      <w:szCs w:val="20"/>
      <w:lang w:val="x-none" w:eastAsia="ja-JP"/>
    </w:rPr>
  </w:style>
  <w:style w:type="paragraph" w:styleId="Prrafodelista">
    <w:name w:val="List Paragraph"/>
    <w:basedOn w:val="Normal"/>
    <w:uiPriority w:val="34"/>
    <w:qFormat/>
    <w:rsid w:val="000511E1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0511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511E1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A50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9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ternidad.com/es-ES/nuevas-guias-de-buenas-practicas-preventivas" TargetMode="External"/><Relationship Id="rId13" Type="http://schemas.openxmlformats.org/officeDocument/2006/relationships/hyperlink" Target="../AppData/Local/Microsoft/Windows/INetCache/Content.Outlook/AppData/Local/Microsoft/AppData/Local/Microsoft/Windows/INetCache/Content.Outlook/AppData/Local/Microsoft/Windows/INetCache/Content.Outlook/AppData/Local/Microsoft/Windows/INetCache/Content.Outlook/AppData/Local/Microsoft/Windows/INetCache/Content.Outlook/AppData/Local/Microsoft/Windows/INetCache/Content.Outlook/AppData/Local/Microsoft/Windows/INetCache/Content.Outlook/AppData/Local/Microsoft/Windows/INetCache/Content.Outlook/AppData/Local/Microsoft/AppData/Local/jrblazquez/AppData/Local/Microsoft/Windows/Temporary%20Internet%20Files/Content.Outlook/OBQMBMQB/gabineteprensa@fraternidad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raternidad.com/es-ES/noticias/guia-de-buenas-practicas-en-contaminantes-quimicos-para-pymes" TargetMode="External"/><Relationship Id="rId12" Type="http://schemas.openxmlformats.org/officeDocument/2006/relationships/hyperlink" Target="https://www.fraternidad.com/Prensa/es-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0820.8DF2F010" TargetMode="External"/><Relationship Id="rId11" Type="http://schemas.openxmlformats.org/officeDocument/2006/relationships/image" Target="media/image2.jp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extranet.fraternidad.com/fraternidad.extranet.ae.web/login/login.aspx?tu=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xtranet.fraternidad.com/fraternidad.extranet.ae.web/login/login.aspx?tu=1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878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Fraternidad-Muprespa</Company>
  <LinksUpToDate>false</LinksUpToDate>
  <CharactersWithSpaces>5696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10</cp:revision>
  <dcterms:created xsi:type="dcterms:W3CDTF">2021-07-16T07:57:00Z</dcterms:created>
  <dcterms:modified xsi:type="dcterms:W3CDTF">2021-07-27T11:21:00Z</dcterms:modified>
</cp:coreProperties>
</file>