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11E1" w:rsidTr="007844D0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E1" w:rsidRDefault="00FF6BAC" w:rsidP="007844D0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894D46">
              <w:rPr>
                <w:b/>
                <w:bCs/>
                <w:i/>
                <w:iCs/>
                <w:noProof/>
              </w:rPr>
              <w:fldChar w:fldCharType="begin"/>
            </w:r>
            <w:r w:rsidR="00894D4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94D46">
              <w:rPr>
                <w:b/>
                <w:bCs/>
                <w:i/>
                <w:iCs/>
                <w:noProof/>
              </w:rPr>
              <w:fldChar w:fldCharType="separate"/>
            </w:r>
            <w:r w:rsidR="00894D46">
              <w:rPr>
                <w:b/>
                <w:bCs/>
                <w:i/>
                <w:iCs/>
                <w:noProof/>
              </w:rPr>
              <w:fldChar w:fldCharType="begin"/>
            </w:r>
            <w:r w:rsidR="00894D4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94D46">
              <w:rPr>
                <w:b/>
                <w:bCs/>
                <w:i/>
                <w:iCs/>
                <w:noProof/>
              </w:rPr>
              <w:fldChar w:fldCharType="separate"/>
            </w:r>
            <w:r w:rsidR="00A26C5C">
              <w:rPr>
                <w:b/>
                <w:bCs/>
                <w:i/>
                <w:iCs/>
                <w:noProof/>
              </w:rPr>
              <w:fldChar w:fldCharType="begin"/>
            </w:r>
            <w:r w:rsidR="00A26C5C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26C5C">
              <w:rPr>
                <w:b/>
                <w:bCs/>
                <w:i/>
                <w:iCs/>
                <w:noProof/>
              </w:rPr>
              <w:fldChar w:fldCharType="separate"/>
            </w:r>
            <w:r w:rsidR="002534A0">
              <w:rPr>
                <w:b/>
                <w:bCs/>
                <w:i/>
                <w:iCs/>
                <w:noProof/>
              </w:rPr>
              <w:fldChar w:fldCharType="begin"/>
            </w:r>
            <w:r w:rsidR="002534A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534A0">
              <w:rPr>
                <w:b/>
                <w:bCs/>
                <w:i/>
                <w:iCs/>
                <w:noProof/>
              </w:rPr>
              <w:fldChar w:fldCharType="separate"/>
            </w:r>
            <w:r w:rsidR="002D23DC">
              <w:rPr>
                <w:b/>
                <w:bCs/>
                <w:i/>
                <w:iCs/>
                <w:noProof/>
              </w:rPr>
              <w:fldChar w:fldCharType="begin"/>
            </w:r>
            <w:r w:rsidR="002D23DC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D23DC">
              <w:rPr>
                <w:b/>
                <w:bCs/>
                <w:i/>
                <w:iCs/>
                <w:noProof/>
              </w:rPr>
              <w:fldChar w:fldCharType="separate"/>
            </w:r>
            <w:r w:rsidR="00047137">
              <w:rPr>
                <w:b/>
                <w:bCs/>
                <w:i/>
                <w:iCs/>
                <w:noProof/>
              </w:rPr>
              <w:fldChar w:fldCharType="begin"/>
            </w:r>
            <w:r w:rsidR="0004713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47137">
              <w:rPr>
                <w:b/>
                <w:bCs/>
                <w:i/>
                <w:iCs/>
                <w:noProof/>
              </w:rPr>
              <w:fldChar w:fldCharType="separate"/>
            </w:r>
            <w:r w:rsidR="000C40CF">
              <w:rPr>
                <w:b/>
                <w:bCs/>
                <w:i/>
                <w:iCs/>
                <w:noProof/>
              </w:rPr>
              <w:fldChar w:fldCharType="begin"/>
            </w:r>
            <w:r w:rsidR="000C40CF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C40CF">
              <w:rPr>
                <w:b/>
                <w:bCs/>
                <w:i/>
                <w:iCs/>
                <w:noProof/>
              </w:rPr>
              <w:fldChar w:fldCharType="separate"/>
            </w:r>
            <w:r w:rsidR="003E3876">
              <w:rPr>
                <w:b/>
                <w:bCs/>
                <w:i/>
                <w:iCs/>
                <w:noProof/>
              </w:rPr>
              <w:fldChar w:fldCharType="begin"/>
            </w:r>
            <w:r w:rsidR="003E387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E3876">
              <w:rPr>
                <w:b/>
                <w:bCs/>
                <w:i/>
                <w:iCs/>
                <w:noProof/>
              </w:rPr>
              <w:fldChar w:fldCharType="separate"/>
            </w:r>
            <w:r w:rsidR="00420DF6">
              <w:rPr>
                <w:b/>
                <w:bCs/>
                <w:i/>
                <w:iCs/>
                <w:noProof/>
              </w:rPr>
              <w:fldChar w:fldCharType="begin"/>
            </w:r>
            <w:r w:rsidR="00420D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20DF6">
              <w:rPr>
                <w:b/>
                <w:bCs/>
                <w:i/>
                <w:iCs/>
                <w:noProof/>
              </w:rPr>
              <w:fldChar w:fldCharType="separate"/>
            </w:r>
            <w:r w:rsidR="00363507">
              <w:rPr>
                <w:b/>
                <w:bCs/>
                <w:i/>
                <w:iCs/>
                <w:noProof/>
              </w:rPr>
              <w:fldChar w:fldCharType="begin"/>
            </w:r>
            <w:r w:rsidR="0036350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63507">
              <w:rPr>
                <w:b/>
                <w:bCs/>
                <w:i/>
                <w:iCs/>
                <w:noProof/>
              </w:rPr>
              <w:fldChar w:fldCharType="separate"/>
            </w:r>
            <w:r w:rsidR="006D2001">
              <w:rPr>
                <w:b/>
                <w:bCs/>
                <w:i/>
                <w:iCs/>
                <w:noProof/>
              </w:rPr>
              <w:fldChar w:fldCharType="begin"/>
            </w:r>
            <w:r w:rsidR="006D200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D2001">
              <w:rPr>
                <w:b/>
                <w:bCs/>
                <w:i/>
                <w:iCs/>
                <w:noProof/>
              </w:rPr>
              <w:fldChar w:fldCharType="separate"/>
            </w:r>
            <w:r w:rsidR="00926D95">
              <w:rPr>
                <w:b/>
                <w:bCs/>
                <w:i/>
                <w:iCs/>
                <w:noProof/>
              </w:rPr>
              <w:fldChar w:fldCharType="begin"/>
            </w:r>
            <w:r w:rsidR="00926D9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26D95">
              <w:rPr>
                <w:b/>
                <w:bCs/>
                <w:i/>
                <w:iCs/>
                <w:noProof/>
              </w:rPr>
              <w:fldChar w:fldCharType="separate"/>
            </w:r>
            <w:r w:rsidR="00933DA2">
              <w:rPr>
                <w:b/>
                <w:bCs/>
                <w:i/>
                <w:iCs/>
                <w:noProof/>
              </w:rPr>
              <w:fldChar w:fldCharType="begin"/>
            </w:r>
            <w:r w:rsidR="00933DA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33DA2">
              <w:rPr>
                <w:b/>
                <w:bCs/>
                <w:i/>
                <w:iCs/>
                <w:noProof/>
              </w:rPr>
              <w:fldChar w:fldCharType="separate"/>
            </w:r>
            <w:r w:rsidR="002779A5">
              <w:rPr>
                <w:b/>
                <w:bCs/>
                <w:i/>
                <w:iCs/>
                <w:noProof/>
              </w:rPr>
              <w:fldChar w:fldCharType="begin"/>
            </w:r>
            <w:r w:rsidR="002779A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2779A5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2779A5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2779A5">
              <w:rPr>
                <w:b/>
                <w:bCs/>
                <w:i/>
                <w:iCs/>
                <w:noProof/>
              </w:rPr>
              <w:fldChar w:fldCharType="separate"/>
            </w:r>
            <w:r w:rsidR="002779A5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40.25pt;visibility:visible">
                  <v:imagedata r:id="rId5" r:href="rId6"/>
                </v:shape>
              </w:pict>
            </w:r>
            <w:r w:rsidR="002779A5">
              <w:rPr>
                <w:b/>
                <w:bCs/>
                <w:i/>
                <w:iCs/>
                <w:noProof/>
              </w:rPr>
              <w:fldChar w:fldCharType="end"/>
            </w:r>
            <w:r w:rsidR="00933DA2">
              <w:rPr>
                <w:b/>
                <w:bCs/>
                <w:i/>
                <w:iCs/>
                <w:noProof/>
              </w:rPr>
              <w:fldChar w:fldCharType="end"/>
            </w:r>
            <w:r w:rsidR="00926D95">
              <w:rPr>
                <w:b/>
                <w:bCs/>
                <w:i/>
                <w:iCs/>
                <w:noProof/>
              </w:rPr>
              <w:fldChar w:fldCharType="end"/>
            </w:r>
            <w:r w:rsidR="006D2001">
              <w:rPr>
                <w:b/>
                <w:bCs/>
                <w:i/>
                <w:iCs/>
                <w:noProof/>
              </w:rPr>
              <w:fldChar w:fldCharType="end"/>
            </w:r>
            <w:r w:rsidR="00363507">
              <w:rPr>
                <w:b/>
                <w:bCs/>
                <w:i/>
                <w:iCs/>
                <w:noProof/>
              </w:rPr>
              <w:fldChar w:fldCharType="end"/>
            </w:r>
            <w:r w:rsidR="00420DF6">
              <w:rPr>
                <w:b/>
                <w:bCs/>
                <w:i/>
                <w:iCs/>
                <w:noProof/>
              </w:rPr>
              <w:fldChar w:fldCharType="end"/>
            </w:r>
            <w:r w:rsidR="003E3876">
              <w:rPr>
                <w:b/>
                <w:bCs/>
                <w:i/>
                <w:iCs/>
                <w:noProof/>
              </w:rPr>
              <w:fldChar w:fldCharType="end"/>
            </w:r>
            <w:r w:rsidR="000C40CF">
              <w:rPr>
                <w:b/>
                <w:bCs/>
                <w:i/>
                <w:iCs/>
                <w:noProof/>
              </w:rPr>
              <w:fldChar w:fldCharType="end"/>
            </w:r>
            <w:r w:rsidR="00047137">
              <w:rPr>
                <w:b/>
                <w:bCs/>
                <w:i/>
                <w:iCs/>
                <w:noProof/>
              </w:rPr>
              <w:fldChar w:fldCharType="end"/>
            </w:r>
            <w:r w:rsidR="002D23DC">
              <w:rPr>
                <w:b/>
                <w:bCs/>
                <w:i/>
                <w:iCs/>
                <w:noProof/>
              </w:rPr>
              <w:fldChar w:fldCharType="end"/>
            </w:r>
            <w:r w:rsidR="002534A0">
              <w:rPr>
                <w:b/>
                <w:bCs/>
                <w:i/>
                <w:iCs/>
                <w:noProof/>
              </w:rPr>
              <w:fldChar w:fldCharType="end"/>
            </w:r>
            <w:r w:rsidR="00A26C5C">
              <w:rPr>
                <w:b/>
                <w:bCs/>
                <w:i/>
                <w:iCs/>
                <w:noProof/>
              </w:rPr>
              <w:fldChar w:fldCharType="end"/>
            </w:r>
            <w:r w:rsidR="00894D46">
              <w:rPr>
                <w:b/>
                <w:bCs/>
                <w:i/>
                <w:iCs/>
                <w:noProof/>
              </w:rPr>
              <w:fldChar w:fldCharType="end"/>
            </w:r>
            <w:r w:rsidR="00894D46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11E1" w:rsidRDefault="000511E1" w:rsidP="007844D0">
            <w:pPr>
              <w:jc w:val="both"/>
            </w:pP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Default="000511E1" w:rsidP="007844D0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Default="000511E1" w:rsidP="007844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E1" w:rsidRDefault="000511E1" w:rsidP="007844D0">
            <w:pPr>
              <w:autoSpaceDE w:val="0"/>
              <w:autoSpaceDN w:val="0"/>
              <w:jc w:val="both"/>
            </w:pP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Pr="00933DA2" w:rsidRDefault="009A5040" w:rsidP="000222E2">
            <w:pPr>
              <w:ind w:left="3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</w:rPr>
            </w:pPr>
            <w:r w:rsidRPr="00933DA2">
              <w:rPr>
                <w:rFonts w:ascii="Verdana" w:hAnsi="Verdana"/>
                <w:b/>
                <w:color w:val="00B050"/>
                <w:sz w:val="26"/>
                <w:szCs w:val="26"/>
              </w:rPr>
              <w:t>Fraternidad-Muprespa edita la g</w:t>
            </w:r>
            <w:r w:rsidR="00972469" w:rsidRPr="00933DA2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uía de buenas prácticas </w:t>
            </w:r>
            <w:r w:rsidR="000222E2" w:rsidRPr="00933DA2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para evitar el riesgo de exposición a agentes cancerígenos </w:t>
            </w:r>
          </w:p>
        </w:tc>
      </w:tr>
      <w:tr w:rsidR="000511E1" w:rsidTr="007844D0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11E1" w:rsidRDefault="000511E1" w:rsidP="007844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11E1" w:rsidTr="007844D0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1E1" w:rsidRDefault="000511E1" w:rsidP="007844D0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11E1" w:rsidRDefault="000511E1" w:rsidP="007844D0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Madrid,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0222E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1</w:t>
            </w:r>
            <w:r w:rsidR="006D200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8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0222E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agosto 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21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11E1" w:rsidRPr="00BB02FC" w:rsidRDefault="000511E1" w:rsidP="007844D0">
            <w:pPr>
              <w:shd w:val="clear" w:color="auto" w:fill="FFFFFF"/>
              <w:autoSpaceDE w:val="0"/>
              <w:autoSpaceDN w:val="0"/>
              <w:adjustRightInd w:val="0"/>
              <w:spacing w:after="150"/>
              <w:jc w:val="both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</w:pPr>
          </w:p>
          <w:p w:rsidR="003F1BC3" w:rsidRPr="003F1BC3" w:rsidRDefault="003F1BC3" w:rsidP="00E05E5D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El 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53 % de todas las muertes relacionadas con el trabajo en la UE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se deben al cáncer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S</w:t>
            </w:r>
            <w:r w:rsidR="002779A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o</w:t>
            </w:r>
            <w:bookmarkStart w:id="0" w:name="_GoBack"/>
            <w:bookmarkEnd w:id="0"/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lo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e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l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amianto 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e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s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responsable de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,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al menos</w:t>
            </w: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,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 100.000 muertes al año </w:t>
            </w:r>
            <w:r w:rsidR="002779A5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 xml:space="preserve">en </w:t>
            </w:r>
            <w:r w:rsidRPr="003F1BC3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</w:rPr>
              <w:t>el mundo</w:t>
            </w:r>
          </w:p>
          <w:p w:rsidR="003F1BC3" w:rsidRPr="003F1BC3" w:rsidRDefault="003F1BC3" w:rsidP="00B233F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color w:val="000000"/>
                <w:sz w:val="24"/>
                <w:szCs w:val="24"/>
              </w:rPr>
              <w:t xml:space="preserve">Se estima que en España </w:t>
            </w:r>
            <w:r w:rsidRPr="003F1BC3">
              <w:rPr>
                <w:rFonts w:ascii="Verdana" w:eastAsia="Times New Roman" w:hAnsi="Verdana"/>
                <w:b/>
                <w:color w:val="000000"/>
                <w:sz w:val="24"/>
                <w:szCs w:val="24"/>
              </w:rPr>
              <w:t xml:space="preserve">más de tres millones de trabajadores </w:t>
            </w:r>
            <w:r>
              <w:rPr>
                <w:rFonts w:ascii="Verdana" w:eastAsia="Times New Roman" w:hAnsi="Verdana"/>
                <w:b/>
                <w:color w:val="000000"/>
                <w:sz w:val="24"/>
                <w:szCs w:val="24"/>
              </w:rPr>
              <w:t>tiene</w:t>
            </w:r>
            <w:r w:rsidR="00933DA2">
              <w:rPr>
                <w:rFonts w:ascii="Verdana" w:eastAsia="Times New Roman" w:hAnsi="Verdana"/>
                <w:b/>
                <w:color w:val="000000"/>
                <w:sz w:val="24"/>
                <w:szCs w:val="24"/>
              </w:rPr>
              <w:t>n</w:t>
            </w:r>
            <w:r>
              <w:rPr>
                <w:rFonts w:ascii="Verdana" w:eastAsia="Times New Roman" w:hAnsi="Verdana"/>
                <w:b/>
                <w:color w:val="000000"/>
                <w:sz w:val="24"/>
                <w:szCs w:val="24"/>
              </w:rPr>
              <w:t xml:space="preserve"> una </w:t>
            </w:r>
            <w:r w:rsidRPr="003F1BC3">
              <w:rPr>
                <w:rFonts w:ascii="Verdana" w:eastAsia="Times New Roman" w:hAnsi="Verdana"/>
                <w:b/>
                <w:color w:val="000000"/>
                <w:sz w:val="24"/>
                <w:szCs w:val="24"/>
              </w:rPr>
              <w:t>historia de exposición laboral a sustancias capaces de producir cáncer</w:t>
            </w:r>
          </w:p>
          <w:p w:rsidR="00131DEC" w:rsidRPr="00933DA2" w:rsidRDefault="003F1BC3" w:rsidP="003F1BC3">
            <w:pPr>
              <w:shd w:val="clear" w:color="auto" w:fill="FFFFFF"/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color w:val="000000" w:themeColor="text1"/>
              </w:rPr>
            </w:pPr>
            <w:r w:rsidRPr="00933DA2">
              <w:rPr>
                <w:rFonts w:ascii="Verdana" w:hAnsi="Verdana"/>
                <w:color w:val="000000" w:themeColor="text1"/>
              </w:rPr>
              <w:t xml:space="preserve">Se trata de </w:t>
            </w:r>
            <w:r w:rsidR="00D018D3" w:rsidRPr="00933DA2">
              <w:rPr>
                <w:rFonts w:ascii="Verdana" w:hAnsi="Verdana"/>
                <w:color w:val="000000" w:themeColor="text1"/>
              </w:rPr>
              <w:t xml:space="preserve">una de las enfermedades más temidas y habituales en </w:t>
            </w:r>
            <w:r w:rsidRPr="00933DA2">
              <w:rPr>
                <w:rFonts w:ascii="Verdana" w:hAnsi="Verdana"/>
                <w:color w:val="000000" w:themeColor="text1"/>
              </w:rPr>
              <w:t>l</w:t>
            </w:r>
            <w:r w:rsidR="00D018D3" w:rsidRPr="00933DA2">
              <w:rPr>
                <w:rFonts w:ascii="Verdana" w:hAnsi="Verdana"/>
                <w:color w:val="000000" w:themeColor="text1"/>
              </w:rPr>
              <w:t xml:space="preserve">a sociedad. </w:t>
            </w:r>
            <w:r w:rsidRPr="00933DA2">
              <w:rPr>
                <w:rFonts w:ascii="Verdana" w:hAnsi="Verdana"/>
                <w:color w:val="000000" w:themeColor="text1"/>
              </w:rPr>
              <w:t xml:space="preserve">Muchos </w:t>
            </w:r>
            <w:r w:rsidR="00D018D3" w:rsidRPr="00933DA2">
              <w:rPr>
                <w:rFonts w:ascii="Verdana" w:hAnsi="Verdana"/>
                <w:color w:val="000000" w:themeColor="text1"/>
              </w:rPr>
              <w:t>productos</w:t>
            </w:r>
            <w:r w:rsidR="00131DEC" w:rsidRPr="00933DA2">
              <w:rPr>
                <w:rFonts w:ascii="Verdana" w:hAnsi="Verdana"/>
                <w:color w:val="000000" w:themeColor="text1"/>
              </w:rPr>
              <w:t xml:space="preserve"> y ciertas conductas son el vehículo para </w:t>
            </w:r>
            <w:r w:rsidR="00D018D3" w:rsidRPr="00933DA2">
              <w:rPr>
                <w:rFonts w:ascii="Verdana" w:hAnsi="Verdana"/>
                <w:color w:val="000000" w:themeColor="text1"/>
              </w:rPr>
              <w:t xml:space="preserve">que </w:t>
            </w:r>
            <w:r w:rsidR="00131DEC" w:rsidRPr="00933DA2">
              <w:rPr>
                <w:rFonts w:ascii="Verdana" w:hAnsi="Verdana"/>
                <w:color w:val="000000" w:themeColor="text1"/>
              </w:rPr>
              <w:t xml:space="preserve">el </w:t>
            </w:r>
            <w:r w:rsidR="00D018D3" w:rsidRPr="00933DA2">
              <w:rPr>
                <w:rFonts w:ascii="Verdana" w:hAnsi="Verdana"/>
                <w:color w:val="000000" w:themeColor="text1"/>
              </w:rPr>
              <w:t>cuerpo pued</w:t>
            </w:r>
            <w:r w:rsidR="00131DEC" w:rsidRPr="00933DA2">
              <w:rPr>
                <w:rFonts w:ascii="Verdana" w:hAnsi="Verdana"/>
                <w:color w:val="000000" w:themeColor="text1"/>
              </w:rPr>
              <w:t xml:space="preserve">a sufrir un cáncer, pero </w:t>
            </w:r>
            <w:r w:rsidR="00D018D3" w:rsidRPr="00933DA2">
              <w:rPr>
                <w:rFonts w:ascii="Verdana" w:hAnsi="Verdana"/>
                <w:color w:val="000000" w:themeColor="text1"/>
              </w:rPr>
              <w:t>hay sectores industriales y empresariales</w:t>
            </w:r>
            <w:r w:rsidR="00131DEC" w:rsidRPr="00933DA2">
              <w:rPr>
                <w:rFonts w:ascii="Verdana" w:hAnsi="Verdana"/>
                <w:color w:val="000000" w:themeColor="text1"/>
              </w:rPr>
              <w:t xml:space="preserve"> en los q</w:t>
            </w:r>
            <w:r w:rsidR="00933DA2" w:rsidRPr="00933DA2">
              <w:rPr>
                <w:rFonts w:ascii="Verdana" w:hAnsi="Verdana"/>
                <w:color w:val="000000" w:themeColor="text1"/>
              </w:rPr>
              <w:t>ue la exposición no es optativa</w:t>
            </w:r>
            <w:r w:rsidR="00131DEC" w:rsidRPr="00933DA2">
              <w:rPr>
                <w:rFonts w:ascii="Verdana" w:hAnsi="Verdana"/>
                <w:color w:val="000000" w:themeColor="text1"/>
              </w:rPr>
              <w:t xml:space="preserve">. </w:t>
            </w:r>
          </w:p>
          <w:p w:rsidR="00D018D3" w:rsidRPr="00933DA2" w:rsidRDefault="00131DEC" w:rsidP="003F1BC3">
            <w:pPr>
              <w:shd w:val="clear" w:color="auto" w:fill="FFFFFF"/>
              <w:autoSpaceDE w:val="0"/>
              <w:autoSpaceDN w:val="0"/>
              <w:adjustRightInd w:val="0"/>
              <w:spacing w:after="150" w:line="288" w:lineRule="auto"/>
              <w:jc w:val="both"/>
              <w:rPr>
                <w:rFonts w:ascii="Verdana" w:hAnsi="Verdana"/>
                <w:color w:val="000000" w:themeColor="text1"/>
              </w:rPr>
            </w:pPr>
            <w:r w:rsidRPr="00933DA2">
              <w:rPr>
                <w:rFonts w:ascii="Verdana" w:hAnsi="Verdana"/>
                <w:color w:val="000000" w:themeColor="text1"/>
              </w:rPr>
              <w:t xml:space="preserve">Aunque la </w:t>
            </w:r>
            <w:r w:rsidR="00D018D3" w:rsidRPr="00933DA2">
              <w:rPr>
                <w:rFonts w:ascii="Verdana" w:hAnsi="Verdana"/>
                <w:color w:val="000000" w:themeColor="text1"/>
              </w:rPr>
              <w:t>legislación</w:t>
            </w:r>
            <w:r w:rsidRPr="00933DA2">
              <w:rPr>
                <w:rFonts w:ascii="Verdana" w:hAnsi="Verdana"/>
                <w:color w:val="000000" w:themeColor="text1"/>
              </w:rPr>
              <w:t xml:space="preserve"> establece el </w:t>
            </w:r>
            <w:r w:rsidR="00D018D3" w:rsidRPr="00933DA2">
              <w:rPr>
                <w:rFonts w:ascii="Verdana" w:hAnsi="Verdana"/>
                <w:color w:val="000000" w:themeColor="text1"/>
              </w:rPr>
              <w:t>derecho a la protección de la salud en los puestos de trabajo,</w:t>
            </w:r>
            <w:r w:rsidRPr="00933DA2">
              <w:rPr>
                <w:rFonts w:ascii="Verdana" w:hAnsi="Verdana"/>
                <w:color w:val="000000" w:themeColor="text1"/>
              </w:rPr>
              <w:t xml:space="preserve"> </w:t>
            </w:r>
            <w:r w:rsidR="00D018D3" w:rsidRPr="00933DA2">
              <w:rPr>
                <w:rFonts w:ascii="Verdana" w:hAnsi="Verdana"/>
                <w:color w:val="000000" w:themeColor="text1"/>
              </w:rPr>
              <w:t>cada año muchos trabajadores enferm</w:t>
            </w:r>
            <w:r w:rsidRPr="00933DA2">
              <w:rPr>
                <w:rFonts w:ascii="Verdana" w:hAnsi="Verdana"/>
                <w:color w:val="000000" w:themeColor="text1"/>
              </w:rPr>
              <w:t>a</w:t>
            </w:r>
            <w:r w:rsidR="00D018D3" w:rsidRPr="00933DA2">
              <w:rPr>
                <w:rFonts w:ascii="Verdana" w:hAnsi="Verdana"/>
                <w:color w:val="000000" w:themeColor="text1"/>
              </w:rPr>
              <w:t>n</w:t>
            </w:r>
            <w:r w:rsidRPr="00933DA2">
              <w:rPr>
                <w:rFonts w:ascii="Verdana" w:hAnsi="Verdana"/>
                <w:color w:val="000000" w:themeColor="text1"/>
              </w:rPr>
              <w:t xml:space="preserve"> por haber estado en contacto </w:t>
            </w:r>
            <w:r w:rsidR="00D018D3" w:rsidRPr="00933DA2">
              <w:rPr>
                <w:rFonts w:ascii="Verdana" w:hAnsi="Verdana"/>
                <w:color w:val="000000" w:themeColor="text1"/>
              </w:rPr>
              <w:t>direct</w:t>
            </w:r>
            <w:r w:rsidRPr="00933DA2">
              <w:rPr>
                <w:rFonts w:ascii="Verdana" w:hAnsi="Verdana"/>
                <w:color w:val="000000" w:themeColor="text1"/>
              </w:rPr>
              <w:t xml:space="preserve">o con </w:t>
            </w:r>
            <w:r w:rsidR="00D018D3" w:rsidRPr="00933DA2">
              <w:rPr>
                <w:rFonts w:ascii="Verdana" w:hAnsi="Verdana"/>
                <w:color w:val="000000" w:themeColor="text1"/>
              </w:rPr>
              <w:t xml:space="preserve">agentes cancerígenos </w:t>
            </w:r>
            <w:r w:rsidR="00933DA2" w:rsidRPr="00933DA2">
              <w:rPr>
                <w:rFonts w:ascii="Verdana" w:hAnsi="Verdana"/>
                <w:color w:val="000000" w:themeColor="text1"/>
              </w:rPr>
              <w:t>durante el desempeño de su empleo</w:t>
            </w:r>
            <w:r w:rsidR="00D018D3" w:rsidRPr="00933DA2">
              <w:rPr>
                <w:rFonts w:ascii="Verdana" w:hAnsi="Verdana"/>
                <w:color w:val="000000" w:themeColor="text1"/>
              </w:rPr>
              <w:t>.</w:t>
            </w:r>
          </w:p>
          <w:p w:rsidR="00131DEC" w:rsidRPr="00933DA2" w:rsidRDefault="00131DEC" w:rsidP="00E87B50">
            <w:pPr>
              <w:spacing w:after="150" w:line="288" w:lineRule="auto"/>
              <w:jc w:val="both"/>
              <w:rPr>
                <w:rFonts w:ascii="Verdana" w:hAnsi="Verdana"/>
                <w:color w:val="000000" w:themeColor="text1"/>
              </w:rPr>
            </w:pPr>
            <w:r w:rsidRPr="00933DA2">
              <w:rPr>
                <w:rFonts w:ascii="Verdana" w:hAnsi="Verdana"/>
                <w:color w:val="000000" w:themeColor="text1"/>
              </w:rPr>
              <w:t xml:space="preserve">Hay </w:t>
            </w:r>
            <w:r w:rsidR="003F1BC3" w:rsidRPr="00933DA2">
              <w:rPr>
                <w:rFonts w:ascii="Verdana" w:hAnsi="Verdana"/>
                <w:color w:val="000000" w:themeColor="text1"/>
              </w:rPr>
              <w:t xml:space="preserve"> estudios </w:t>
            </w:r>
            <w:r w:rsidRPr="00933DA2">
              <w:rPr>
                <w:rFonts w:ascii="Verdana" w:hAnsi="Verdana"/>
                <w:color w:val="000000" w:themeColor="text1"/>
              </w:rPr>
              <w:t xml:space="preserve">según los cuales se producen </w:t>
            </w:r>
            <w:r w:rsidR="003F1BC3" w:rsidRPr="00933DA2">
              <w:rPr>
                <w:rFonts w:ascii="Verdana" w:hAnsi="Verdana"/>
                <w:color w:val="000000" w:themeColor="text1"/>
              </w:rPr>
              <w:t>casi 40 veces más muertes por cáncer profesional que por accidentes.</w:t>
            </w:r>
            <w:r w:rsidRPr="00933DA2">
              <w:rPr>
                <w:rFonts w:ascii="Verdana" w:hAnsi="Verdana"/>
                <w:color w:val="000000" w:themeColor="text1"/>
              </w:rPr>
              <w:t xml:space="preserve"> </w:t>
            </w:r>
            <w:r w:rsidR="00933DA2" w:rsidRPr="00933DA2">
              <w:rPr>
                <w:rFonts w:ascii="Verdana" w:hAnsi="Verdana"/>
                <w:color w:val="000000" w:themeColor="text1"/>
              </w:rPr>
              <w:t xml:space="preserve">Entre las </w:t>
            </w:r>
            <w:r w:rsidRPr="00933DA2">
              <w:rPr>
                <w:rFonts w:ascii="Verdana" w:hAnsi="Verdana"/>
                <w:color w:val="000000" w:themeColor="text1"/>
              </w:rPr>
              <w:t xml:space="preserve">sustancias </w:t>
            </w:r>
            <w:r w:rsidR="00933DA2" w:rsidRPr="00933DA2">
              <w:rPr>
                <w:rFonts w:ascii="Verdana" w:hAnsi="Verdana"/>
                <w:color w:val="000000" w:themeColor="text1"/>
              </w:rPr>
              <w:t xml:space="preserve">vinculadas al ámbito laboral </w:t>
            </w:r>
            <w:r w:rsidRPr="00933DA2">
              <w:rPr>
                <w:rFonts w:ascii="Verdana" w:hAnsi="Verdana"/>
                <w:color w:val="000000" w:themeColor="text1"/>
              </w:rPr>
              <w:t>capaces de producir cáncer</w:t>
            </w:r>
            <w:r w:rsidR="00933DA2" w:rsidRPr="00933DA2">
              <w:rPr>
                <w:rFonts w:ascii="Verdana" w:hAnsi="Verdana"/>
                <w:color w:val="000000" w:themeColor="text1"/>
              </w:rPr>
              <w:t xml:space="preserve"> d</w:t>
            </w:r>
            <w:r w:rsidRPr="00933DA2">
              <w:rPr>
                <w:rFonts w:ascii="Verdana" w:hAnsi="Verdana"/>
                <w:color w:val="000000" w:themeColor="text1"/>
              </w:rPr>
              <w:t>estaca</w:t>
            </w:r>
            <w:r w:rsidR="00933DA2" w:rsidRPr="00933DA2">
              <w:rPr>
                <w:rFonts w:ascii="Verdana" w:hAnsi="Verdana"/>
                <w:color w:val="000000" w:themeColor="text1"/>
              </w:rPr>
              <w:t>n, entre otros,</w:t>
            </w:r>
            <w:r w:rsidRPr="00933DA2">
              <w:rPr>
                <w:rFonts w:ascii="Verdana" w:hAnsi="Verdana"/>
                <w:color w:val="000000" w:themeColor="text1"/>
              </w:rPr>
              <w:t xml:space="preserve"> el sílice, los humos de motores diésel, los productos de caucho o los bencenos</w:t>
            </w:r>
            <w:r w:rsidR="00933DA2" w:rsidRPr="00933DA2">
              <w:rPr>
                <w:rFonts w:ascii="Verdana" w:hAnsi="Verdana"/>
                <w:color w:val="000000" w:themeColor="text1"/>
              </w:rPr>
              <w:t>.</w:t>
            </w:r>
          </w:p>
          <w:p w:rsidR="00933DA2" w:rsidRPr="00933DA2" w:rsidRDefault="00933DA2" w:rsidP="00E87B50">
            <w:pPr>
              <w:spacing w:after="150" w:line="288" w:lineRule="auto"/>
              <w:jc w:val="both"/>
              <w:rPr>
                <w:b/>
              </w:rPr>
            </w:pPr>
            <w:r w:rsidRPr="00933DA2">
              <w:rPr>
                <w:rFonts w:ascii="Verdana" w:hAnsi="Verdana"/>
                <w:b/>
                <w:color w:val="000000" w:themeColor="text1"/>
              </w:rPr>
              <w:t>¿Qué hacer para reducir la exposición a estos agentes?</w:t>
            </w:r>
          </w:p>
          <w:p w:rsidR="00933DA2" w:rsidRPr="00933DA2" w:rsidRDefault="00131DEC" w:rsidP="00933DA2">
            <w:pPr>
              <w:spacing w:after="150" w:line="288" w:lineRule="auto"/>
              <w:jc w:val="both"/>
              <w:rPr>
                <w:rFonts w:ascii="Verdana" w:hAnsi="Verdana"/>
                <w:color w:val="000000" w:themeColor="text1"/>
              </w:rPr>
            </w:pPr>
            <w:r w:rsidRPr="00933DA2">
              <w:rPr>
                <w:rFonts w:ascii="Verdana" w:hAnsi="Verdana" w:cs="Arial"/>
                <w:color w:val="000000"/>
              </w:rPr>
              <w:t>Ante la contundencia de los datos, la guía</w:t>
            </w:r>
            <w:r w:rsidR="00B34057" w:rsidRPr="00933DA2">
              <w:rPr>
                <w:rFonts w:ascii="Verdana" w:hAnsi="Verdana" w:cs="Arial"/>
                <w:color w:val="000000"/>
              </w:rPr>
              <w:t xml:space="preserve"> arroja luz para </w:t>
            </w:r>
            <w:r w:rsidRPr="00933DA2">
              <w:rPr>
                <w:rFonts w:ascii="Verdana" w:hAnsi="Verdana" w:cs="Arial"/>
                <w:color w:val="000000"/>
              </w:rPr>
              <w:t>la detección de dichos</w:t>
            </w:r>
            <w:r w:rsidRPr="00933DA2">
              <w:rPr>
                <w:rFonts w:ascii="Verdana" w:hAnsi="Verdana"/>
                <w:color w:val="000000" w:themeColor="text1"/>
              </w:rPr>
              <w:t xml:space="preserve"> agentes cancerígenos</w:t>
            </w:r>
            <w:r w:rsidR="00B34057" w:rsidRPr="00933DA2">
              <w:rPr>
                <w:rFonts w:ascii="Verdana" w:hAnsi="Verdana"/>
                <w:color w:val="000000" w:themeColor="text1"/>
              </w:rPr>
              <w:t xml:space="preserve"> que siempre deben ser correctamente </w:t>
            </w:r>
            <w:r w:rsidRPr="00933DA2">
              <w:rPr>
                <w:rFonts w:ascii="Verdana" w:hAnsi="Verdana"/>
                <w:color w:val="000000" w:themeColor="text1"/>
              </w:rPr>
              <w:t>señaliza</w:t>
            </w:r>
            <w:r w:rsidR="00B34057" w:rsidRPr="00933DA2">
              <w:rPr>
                <w:rFonts w:ascii="Verdana" w:hAnsi="Verdana"/>
                <w:color w:val="000000" w:themeColor="text1"/>
              </w:rPr>
              <w:t>dos</w:t>
            </w:r>
            <w:r w:rsidRPr="00933DA2">
              <w:rPr>
                <w:rFonts w:ascii="Verdana" w:hAnsi="Verdana"/>
                <w:color w:val="000000" w:themeColor="text1"/>
              </w:rPr>
              <w:t>, identifica</w:t>
            </w:r>
            <w:r w:rsidR="00B34057" w:rsidRPr="00933DA2">
              <w:rPr>
                <w:rFonts w:ascii="Verdana" w:hAnsi="Verdana"/>
                <w:color w:val="000000" w:themeColor="text1"/>
              </w:rPr>
              <w:t>dos y u</w:t>
            </w:r>
            <w:r w:rsidRPr="00933DA2">
              <w:rPr>
                <w:rFonts w:ascii="Verdana" w:hAnsi="Verdana"/>
                <w:color w:val="000000" w:themeColor="text1"/>
              </w:rPr>
              <w:t>s</w:t>
            </w:r>
            <w:r w:rsidR="00B34057" w:rsidRPr="00933DA2">
              <w:rPr>
                <w:rFonts w:ascii="Verdana" w:hAnsi="Verdana"/>
                <w:color w:val="000000" w:themeColor="text1"/>
              </w:rPr>
              <w:t>ad</w:t>
            </w:r>
            <w:r w:rsidRPr="00933DA2">
              <w:rPr>
                <w:rFonts w:ascii="Verdana" w:hAnsi="Verdana"/>
                <w:color w:val="000000" w:themeColor="text1"/>
              </w:rPr>
              <w:t>o</w:t>
            </w:r>
            <w:r w:rsidR="00B34057" w:rsidRPr="00933DA2">
              <w:rPr>
                <w:rFonts w:ascii="Verdana" w:hAnsi="Verdana"/>
                <w:color w:val="000000" w:themeColor="text1"/>
              </w:rPr>
              <w:t>s</w:t>
            </w:r>
            <w:r w:rsidRPr="00933DA2">
              <w:rPr>
                <w:rFonts w:ascii="Verdana" w:hAnsi="Verdana"/>
                <w:color w:val="000000" w:themeColor="text1"/>
              </w:rPr>
              <w:t xml:space="preserve">. </w:t>
            </w:r>
            <w:r w:rsidR="00B34057" w:rsidRPr="00933DA2">
              <w:rPr>
                <w:rFonts w:ascii="Verdana" w:hAnsi="Verdana"/>
                <w:color w:val="000000" w:themeColor="text1"/>
              </w:rPr>
              <w:t xml:space="preserve">También resume </w:t>
            </w:r>
            <w:r w:rsidRPr="00933DA2">
              <w:rPr>
                <w:rFonts w:ascii="Verdana" w:hAnsi="Verdana"/>
                <w:color w:val="000000" w:themeColor="text1"/>
              </w:rPr>
              <w:t xml:space="preserve">las medidas preventivas a adoptar por parte de los trabajadores cuyas tareas impliquen el uso de </w:t>
            </w:r>
            <w:r w:rsidR="00B34057" w:rsidRPr="00933DA2">
              <w:rPr>
                <w:rFonts w:ascii="Verdana" w:hAnsi="Verdana"/>
                <w:color w:val="000000" w:themeColor="text1"/>
              </w:rPr>
              <w:t xml:space="preserve">estos </w:t>
            </w:r>
            <w:r w:rsidRPr="00933DA2">
              <w:rPr>
                <w:rFonts w:ascii="Verdana" w:hAnsi="Verdana"/>
                <w:color w:val="000000" w:themeColor="text1"/>
              </w:rPr>
              <w:t>agentes</w:t>
            </w:r>
            <w:r w:rsidR="00B34057" w:rsidRPr="00933DA2">
              <w:rPr>
                <w:rFonts w:ascii="Verdana" w:hAnsi="Verdana"/>
                <w:color w:val="000000" w:themeColor="text1"/>
              </w:rPr>
              <w:t>, gracias a una</w:t>
            </w:r>
            <w:r w:rsidRPr="00933DA2">
              <w:rPr>
                <w:rFonts w:ascii="Verdana" w:hAnsi="Verdana"/>
                <w:color w:val="000000" w:themeColor="text1"/>
              </w:rPr>
              <w:t xml:space="preserve">s pautas </w:t>
            </w:r>
            <w:r w:rsidR="00B34057" w:rsidRPr="00933DA2">
              <w:rPr>
                <w:rFonts w:ascii="Verdana" w:hAnsi="Verdana"/>
                <w:color w:val="000000" w:themeColor="text1"/>
              </w:rPr>
              <w:t xml:space="preserve">claras: </w:t>
            </w:r>
          </w:p>
          <w:p w:rsidR="00933DA2" w:rsidRPr="00933DA2" w:rsidRDefault="00933DA2" w:rsidP="00933DA2">
            <w:pPr>
              <w:pStyle w:val="Prrafodelista"/>
              <w:numPr>
                <w:ilvl w:val="0"/>
                <w:numId w:val="4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/>
                <w:color w:val="000000" w:themeColor="text1"/>
              </w:rPr>
              <w:t>I</w:t>
            </w:r>
            <w:r w:rsidR="00131DEC" w:rsidRPr="00933DA2">
              <w:rPr>
                <w:rFonts w:ascii="Verdana" w:hAnsi="Verdana"/>
                <w:color w:val="000000" w:themeColor="text1"/>
              </w:rPr>
              <w:t>nformar a los trabajadores sobre la existencia e identificación de los agentes</w:t>
            </w:r>
          </w:p>
          <w:p w:rsidR="00933DA2" w:rsidRPr="00933DA2" w:rsidRDefault="00933DA2" w:rsidP="00933DA2">
            <w:pPr>
              <w:pStyle w:val="Prrafodelista"/>
              <w:numPr>
                <w:ilvl w:val="0"/>
                <w:numId w:val="4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/>
                <w:color w:val="000000" w:themeColor="text1"/>
              </w:rPr>
              <w:t>S</w:t>
            </w:r>
            <w:r w:rsidR="00131DEC" w:rsidRPr="00933DA2">
              <w:rPr>
                <w:rFonts w:ascii="Verdana" w:hAnsi="Verdana"/>
                <w:color w:val="000000" w:themeColor="text1"/>
              </w:rPr>
              <w:t>ensibilizar a los empresarios sobre los riesgos para sus trabajadores</w:t>
            </w:r>
          </w:p>
          <w:p w:rsidR="00933DA2" w:rsidRPr="00933DA2" w:rsidRDefault="00933DA2" w:rsidP="00933DA2">
            <w:pPr>
              <w:pStyle w:val="Prrafodelista"/>
              <w:numPr>
                <w:ilvl w:val="0"/>
                <w:numId w:val="4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/>
                <w:color w:val="000000" w:themeColor="text1"/>
              </w:rPr>
              <w:t>A</w:t>
            </w:r>
            <w:r w:rsidR="00131DEC" w:rsidRPr="00933DA2">
              <w:rPr>
                <w:rFonts w:ascii="Verdana" w:hAnsi="Verdana"/>
                <w:color w:val="000000" w:themeColor="text1"/>
              </w:rPr>
              <w:t>nalizar su representatividad en los distintos sectores</w:t>
            </w:r>
            <w:r w:rsidR="00B34057" w:rsidRPr="00933DA2">
              <w:rPr>
                <w:rFonts w:ascii="Verdana" w:hAnsi="Verdana"/>
                <w:color w:val="000000" w:themeColor="text1"/>
              </w:rPr>
              <w:t xml:space="preserve"> y </w:t>
            </w:r>
          </w:p>
          <w:p w:rsidR="00131DEC" w:rsidRPr="00933DA2" w:rsidRDefault="00933DA2" w:rsidP="00933DA2">
            <w:pPr>
              <w:pStyle w:val="Prrafodelista"/>
              <w:numPr>
                <w:ilvl w:val="0"/>
                <w:numId w:val="4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/>
                <w:color w:val="000000" w:themeColor="text1"/>
              </w:rPr>
              <w:lastRenderedPageBreak/>
              <w:t>F</w:t>
            </w:r>
            <w:r w:rsidR="00131DEC" w:rsidRPr="00933DA2">
              <w:rPr>
                <w:rFonts w:ascii="Verdana" w:hAnsi="Verdana"/>
                <w:color w:val="000000" w:themeColor="text1"/>
              </w:rPr>
              <w:t xml:space="preserve">omentar el desarrollo de hábitos saludables y buenas prácticas que limiten el uso </w:t>
            </w:r>
            <w:r w:rsidR="0079301C" w:rsidRPr="00933DA2">
              <w:rPr>
                <w:rFonts w:ascii="Verdana" w:hAnsi="Verdana"/>
                <w:color w:val="000000" w:themeColor="text1"/>
              </w:rPr>
              <w:t>de modo que se h</w:t>
            </w:r>
            <w:r w:rsidR="00131DEC" w:rsidRPr="00933DA2">
              <w:rPr>
                <w:rFonts w:ascii="Verdana" w:hAnsi="Verdana"/>
                <w:color w:val="000000" w:themeColor="text1"/>
              </w:rPr>
              <w:t>a</w:t>
            </w:r>
            <w:r w:rsidR="00B34057" w:rsidRPr="00933DA2">
              <w:rPr>
                <w:rFonts w:ascii="Verdana" w:hAnsi="Verdana"/>
                <w:color w:val="000000" w:themeColor="text1"/>
              </w:rPr>
              <w:t>ga de la forma menos peligrosa para</w:t>
            </w:r>
            <w:r w:rsidR="0079301C" w:rsidRPr="00933DA2">
              <w:rPr>
                <w:rFonts w:ascii="Verdana" w:hAnsi="Verdana"/>
                <w:color w:val="000000" w:themeColor="text1"/>
              </w:rPr>
              <w:t xml:space="preserve"> </w:t>
            </w:r>
            <w:r w:rsidR="00B34057" w:rsidRPr="00933DA2">
              <w:rPr>
                <w:rFonts w:ascii="Verdana" w:hAnsi="Verdana"/>
                <w:color w:val="000000" w:themeColor="text1"/>
              </w:rPr>
              <w:t xml:space="preserve">el trabajador </w:t>
            </w:r>
          </w:p>
          <w:p w:rsidR="00926D95" w:rsidRPr="00933DA2" w:rsidRDefault="0079301C" w:rsidP="00972469">
            <w:p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 w:cs="Arial"/>
                <w:color w:val="000000"/>
              </w:rPr>
              <w:t xml:space="preserve">Si técnicamente no es posible la sustitución de un agente cancerígeno, </w:t>
            </w:r>
            <w:r w:rsidRPr="00933DA2">
              <w:rPr>
                <w:rFonts w:ascii="Verdana" w:hAnsi="Verdana" w:cs="Arial"/>
                <w:b/>
                <w:color w:val="000000"/>
              </w:rPr>
              <w:t>el empresario debe garantizar</w:t>
            </w:r>
            <w:r w:rsidRPr="00933DA2">
              <w:rPr>
                <w:rFonts w:ascii="Verdana" w:hAnsi="Verdana" w:cs="Arial"/>
                <w:color w:val="000000"/>
              </w:rPr>
              <w:t xml:space="preserve"> la prevención y reducción de la exposición mediante medidas de higiene personal y protección individual específicas</w:t>
            </w:r>
            <w:r w:rsidR="00926D95" w:rsidRPr="00933DA2">
              <w:rPr>
                <w:rFonts w:ascii="Verdana" w:hAnsi="Verdana" w:cs="Arial"/>
                <w:color w:val="000000"/>
              </w:rPr>
              <w:t xml:space="preserve">: </w:t>
            </w:r>
          </w:p>
          <w:p w:rsidR="00926D95" w:rsidRPr="00933DA2" w:rsidRDefault="00926D95" w:rsidP="00933DA2">
            <w:pPr>
              <w:pStyle w:val="Prrafodelista"/>
              <w:numPr>
                <w:ilvl w:val="0"/>
                <w:numId w:val="5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 w:cs="Arial"/>
                <w:color w:val="000000"/>
              </w:rPr>
              <w:t>P</w:t>
            </w:r>
            <w:r w:rsidR="0079301C" w:rsidRPr="00933DA2">
              <w:rPr>
                <w:rFonts w:ascii="Verdana" w:hAnsi="Verdana" w:cs="Arial"/>
                <w:color w:val="000000"/>
              </w:rPr>
              <w:t>rohibir que se coma, beba o fume en la zona de trabajo en la que exista riesgo de exposición</w:t>
            </w:r>
          </w:p>
          <w:p w:rsidR="00926D95" w:rsidRPr="00933DA2" w:rsidRDefault="00926D95" w:rsidP="00933DA2">
            <w:pPr>
              <w:pStyle w:val="Prrafodelista"/>
              <w:numPr>
                <w:ilvl w:val="0"/>
                <w:numId w:val="5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 w:cs="Arial"/>
                <w:color w:val="000000"/>
              </w:rPr>
              <w:t>D</w:t>
            </w:r>
            <w:r w:rsidR="0079301C" w:rsidRPr="00933DA2">
              <w:rPr>
                <w:rFonts w:ascii="Verdana" w:hAnsi="Verdana" w:cs="Arial"/>
                <w:color w:val="000000"/>
              </w:rPr>
              <w:t xml:space="preserve">isponer de lugares separados para guardar la ropa de trabajo o equipo de protección y la ropa de </w:t>
            </w:r>
            <w:r w:rsidRPr="00933DA2">
              <w:rPr>
                <w:rFonts w:ascii="Verdana" w:hAnsi="Verdana" w:cs="Arial"/>
                <w:color w:val="000000"/>
              </w:rPr>
              <w:t>calle</w:t>
            </w:r>
          </w:p>
          <w:p w:rsidR="00926D95" w:rsidRPr="00933DA2" w:rsidRDefault="00926D95" w:rsidP="00933DA2">
            <w:pPr>
              <w:pStyle w:val="Prrafodelista"/>
              <w:numPr>
                <w:ilvl w:val="0"/>
                <w:numId w:val="5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 w:cs="Arial"/>
                <w:color w:val="000000"/>
              </w:rPr>
              <w:t>D</w:t>
            </w:r>
            <w:r w:rsidR="0079301C" w:rsidRPr="00933DA2">
              <w:rPr>
                <w:rFonts w:ascii="Verdana" w:hAnsi="Verdana" w:cs="Arial"/>
                <w:color w:val="000000"/>
              </w:rPr>
              <w:t>isponer de diez minutos para el aseo antes de la comida y otros diez minutos antes de abandonar el trabajo</w:t>
            </w:r>
            <w:r w:rsidRPr="00933DA2">
              <w:rPr>
                <w:rFonts w:ascii="Verdana" w:hAnsi="Verdana" w:cs="Arial"/>
                <w:color w:val="000000"/>
              </w:rPr>
              <w:t>, dentro de la jornada laboral</w:t>
            </w:r>
          </w:p>
          <w:p w:rsidR="00131DEC" w:rsidRPr="00933DA2" w:rsidRDefault="00926D95" w:rsidP="00933DA2">
            <w:pPr>
              <w:pStyle w:val="Prrafodelista"/>
              <w:numPr>
                <w:ilvl w:val="0"/>
                <w:numId w:val="5"/>
              </w:num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 w:cs="Arial"/>
                <w:color w:val="000000"/>
              </w:rPr>
              <w:t xml:space="preserve">Responsabilizarse del </w:t>
            </w:r>
            <w:r w:rsidR="0079301C" w:rsidRPr="00933DA2">
              <w:rPr>
                <w:rFonts w:ascii="Verdana" w:hAnsi="Verdana" w:cs="Arial"/>
                <w:color w:val="000000"/>
              </w:rPr>
              <w:t xml:space="preserve">lavado y descontaminación de la ropa de trabajo, </w:t>
            </w:r>
            <w:r w:rsidRPr="00933DA2">
              <w:rPr>
                <w:rFonts w:ascii="Verdana" w:hAnsi="Verdana" w:cs="Arial"/>
                <w:color w:val="000000"/>
              </w:rPr>
              <w:t xml:space="preserve">ya que está </w:t>
            </w:r>
            <w:r w:rsidR="00933DA2" w:rsidRPr="00933DA2">
              <w:rPr>
                <w:rFonts w:ascii="Verdana" w:hAnsi="Verdana" w:cs="Arial"/>
                <w:color w:val="000000"/>
              </w:rPr>
              <w:t xml:space="preserve">prohibido realizar esta tarea </w:t>
            </w:r>
            <w:r w:rsidR="0079301C" w:rsidRPr="00933DA2">
              <w:rPr>
                <w:rFonts w:ascii="Verdana" w:hAnsi="Verdana" w:cs="Arial"/>
                <w:color w:val="000000"/>
              </w:rPr>
              <w:t>en el domicilio del trabajador</w:t>
            </w:r>
          </w:p>
          <w:p w:rsidR="00933DA2" w:rsidRPr="00933DA2" w:rsidRDefault="00926D95" w:rsidP="00933DA2">
            <w:pPr>
              <w:spacing w:after="150" w:line="288" w:lineRule="auto"/>
              <w:jc w:val="both"/>
              <w:rPr>
                <w:rFonts w:ascii="Verdana" w:hAnsi="Verdana" w:cs="Arial"/>
                <w:color w:val="000000"/>
              </w:rPr>
            </w:pPr>
            <w:r w:rsidRPr="00933DA2">
              <w:rPr>
                <w:rFonts w:ascii="Verdana" w:hAnsi="Verdana" w:cs="Arial"/>
                <w:color w:val="000000"/>
              </w:rPr>
              <w:t>Cuando se actúa con agentes cancerígenos y c</w:t>
            </w:r>
            <w:r w:rsidR="0079301C" w:rsidRPr="00933DA2">
              <w:rPr>
                <w:rFonts w:ascii="Verdana" w:hAnsi="Verdana" w:cs="Arial"/>
                <w:color w:val="000000"/>
              </w:rPr>
              <w:t xml:space="preserve">on la finalidad de llevar a cabo un trabajo responsable, la clave está </w:t>
            </w:r>
            <w:r w:rsidR="00933DA2" w:rsidRPr="00933DA2">
              <w:rPr>
                <w:rFonts w:ascii="Verdana" w:hAnsi="Verdana" w:cs="Arial"/>
                <w:color w:val="000000"/>
              </w:rPr>
              <w:t xml:space="preserve">en la palabra STOP, más bien en sus iniciales, tal y como se indica en la siguiente imagen. </w:t>
            </w:r>
          </w:p>
          <w:p w:rsidR="00933DA2" w:rsidRDefault="00933DA2" w:rsidP="00933DA2">
            <w:pPr>
              <w:spacing w:after="150" w:line="288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</w:rPr>
            </w:pPr>
            <w:r>
              <w:rPr>
                <w:rFonts w:ascii="Verdana" w:hAnsi="Verdana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127284" cy="3372166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a palabra stop contiene las claves de las buenas prácticas ante los agentes cancerígeno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2992" cy="3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3DA2" w:rsidRDefault="00933DA2" w:rsidP="00933DA2">
            <w:pPr>
              <w:spacing w:after="150" w:line="288" w:lineRule="auto"/>
              <w:jc w:val="both"/>
              <w:rPr>
                <w:rFonts w:ascii="Verdana" w:hAnsi="Verdana" w:cs="Arial"/>
                <w:color w:val="000000"/>
                <w:sz w:val="24"/>
                <w:szCs w:val="24"/>
              </w:rPr>
            </w:pPr>
          </w:p>
          <w:p w:rsidR="00972469" w:rsidRPr="00933DA2" w:rsidRDefault="00972469" w:rsidP="00933DA2">
            <w:pPr>
              <w:spacing w:after="150" w:line="288" w:lineRule="auto"/>
              <w:jc w:val="both"/>
              <w:rPr>
                <w:rFonts w:ascii="Verdana" w:hAnsi="Verdana"/>
                <w:color w:val="666666"/>
              </w:rPr>
            </w:pPr>
            <w:r w:rsidRPr="00933DA2">
              <w:rPr>
                <w:rFonts w:ascii="Verdana" w:hAnsi="Verdana" w:cs="Arial"/>
                <w:color w:val="000000"/>
              </w:rPr>
              <w:t xml:space="preserve">Todas las guías de buenas prácticas repiten una misma estructura ágil y accesible. Nuestros mutualistas tienen </w:t>
            </w:r>
            <w:hyperlink r:id="rId8" w:history="1">
              <w:r w:rsidRPr="00933DA2">
                <w:rPr>
                  <w:rStyle w:val="Hipervnculo"/>
                  <w:rFonts w:ascii="Verdana" w:hAnsi="Verdana"/>
                </w:rPr>
                <w:t>acceso online</w:t>
              </w:r>
            </w:hyperlink>
            <w:r w:rsidRPr="00933DA2">
              <w:rPr>
                <w:rStyle w:val="Hipervnculo"/>
                <w:color w:val="F56300"/>
                <w:u w:val="none"/>
              </w:rPr>
              <w:t xml:space="preserve"> </w:t>
            </w:r>
            <w:r w:rsidRPr="00933DA2">
              <w:rPr>
                <w:rFonts w:ascii="Verdana" w:hAnsi="Verdana" w:cs="Arial"/>
                <w:color w:val="000000"/>
              </w:rPr>
              <w:t>a ellas desde el portal</w:t>
            </w:r>
            <w:r w:rsidRPr="00933DA2">
              <w:rPr>
                <w:rFonts w:ascii="Verdana" w:hAnsi="Verdana"/>
                <w:color w:val="666666"/>
              </w:rPr>
              <w:t> </w:t>
            </w:r>
            <w:hyperlink r:id="rId9" w:history="1">
              <w:r w:rsidRPr="00933DA2">
                <w:rPr>
                  <w:rStyle w:val="Hipervnculo"/>
                  <w:rFonts w:ascii="Verdana" w:hAnsi="Verdana"/>
                  <w:color w:val="F56300"/>
                </w:rPr>
                <w:t>Previene</w:t>
              </w:r>
            </w:hyperlink>
            <w:r w:rsidRPr="00933DA2">
              <w:rPr>
                <w:rStyle w:val="Hipervnculo"/>
                <w:rFonts w:ascii="Verdana" w:hAnsi="Verdana"/>
                <w:color w:val="F56300"/>
              </w:rPr>
              <w:t xml:space="preserve"> </w:t>
            </w:r>
            <w:r w:rsidRPr="00933DA2">
              <w:rPr>
                <w:rFonts w:ascii="Verdana" w:hAnsi="Verdana" w:cs="Arial"/>
                <w:color w:val="000000"/>
              </w:rPr>
              <w:t xml:space="preserve">a través del </w:t>
            </w:r>
            <w:hyperlink r:id="rId10" w:history="1">
              <w:r w:rsidRPr="00933DA2">
                <w:rPr>
                  <w:rStyle w:val="Hipervnculo"/>
                  <w:rFonts w:ascii="Verdana" w:hAnsi="Verdana"/>
                  <w:color w:val="F56300"/>
                </w:rPr>
                <w:t>Aula</w:t>
              </w:r>
            </w:hyperlink>
            <w:hyperlink r:id="rId11" w:tgtFrame="_blank" w:history="1">
              <w:r w:rsidRPr="00933DA2">
                <w:rPr>
                  <w:rStyle w:val="Hipervnculo"/>
                  <w:rFonts w:ascii="Verdana" w:hAnsi="Verdana"/>
                  <w:color w:val="F56300"/>
                </w:rPr>
                <w:t> Prevención</w:t>
              </w:r>
            </w:hyperlink>
            <w:r w:rsidRPr="00933DA2">
              <w:rPr>
                <w:rFonts w:ascii="Verdana" w:hAnsi="Verdana"/>
                <w:color w:val="666666"/>
              </w:rPr>
              <w:t xml:space="preserve">. </w:t>
            </w:r>
          </w:p>
          <w:p w:rsidR="00972469" w:rsidRDefault="00972469" w:rsidP="00972469">
            <w:pPr>
              <w:pStyle w:val="Prrafodelista"/>
              <w:spacing w:after="0" w:line="240" w:lineRule="auto"/>
              <w:ind w:left="0" w:right="142"/>
              <w:jc w:val="center"/>
              <w:rPr>
                <w:rFonts w:ascii="Verdana" w:hAnsi="Verdana" w:cs="Calibri"/>
                <w:color w:val="000000" w:themeColor="text1"/>
                <w:sz w:val="24"/>
                <w:szCs w:val="24"/>
                <w:lang w:eastAsia="es-ES"/>
              </w:rPr>
            </w:pPr>
          </w:p>
          <w:p w:rsidR="00972469" w:rsidRPr="00E87B50" w:rsidRDefault="00972469" w:rsidP="007844D0">
            <w:pPr>
              <w:pStyle w:val="Prrafodelista"/>
              <w:spacing w:after="0" w:line="240" w:lineRule="auto"/>
              <w:ind w:left="0" w:right="142"/>
              <w:rPr>
                <w:rFonts w:ascii="Verdana" w:hAnsi="Verdana" w:cs="Calibri"/>
                <w:color w:val="000000" w:themeColor="text1"/>
                <w:sz w:val="24"/>
                <w:szCs w:val="24"/>
                <w:lang w:eastAsia="es-ES"/>
              </w:rPr>
            </w:pPr>
          </w:p>
          <w:p w:rsidR="00137F4D" w:rsidRDefault="00137F4D" w:rsidP="007844D0">
            <w:pPr>
              <w:pStyle w:val="Prrafodelista"/>
              <w:spacing w:after="0" w:line="240" w:lineRule="auto"/>
              <w:ind w:left="0" w:right="142"/>
              <w:rPr>
                <w:rFonts w:cs="Calibri"/>
                <w:szCs w:val="24"/>
              </w:rPr>
            </w:pPr>
          </w:p>
          <w:tbl>
            <w:tblPr>
              <w:tblW w:w="9068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8"/>
            </w:tblGrid>
            <w:tr w:rsidR="00047137" w:rsidRPr="00E30068" w:rsidTr="00BD3376">
              <w:trPr>
                <w:trHeight w:val="571"/>
                <w:jc w:val="center"/>
              </w:trPr>
              <w:tc>
                <w:tcPr>
                  <w:tcW w:w="906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944AA" w:rsidRDefault="00B944AA" w:rsidP="00047137">
                  <w:pPr>
                    <w:jc w:val="center"/>
                    <w:rPr>
                      <w:b/>
                    </w:rPr>
                  </w:pPr>
                </w:p>
                <w:p w:rsidR="00047137" w:rsidRPr="00435DCB" w:rsidRDefault="00047137" w:rsidP="00047137">
                  <w:pPr>
                    <w:jc w:val="center"/>
                    <w:rPr>
                      <w:b/>
                    </w:rPr>
                  </w:pPr>
                  <w:r w:rsidRPr="00435DCB">
                    <w:rPr>
                      <w:b/>
                    </w:rPr>
                    <w:t xml:space="preserve">Sobre Fraternidad-Muprespa: </w:t>
                  </w:r>
                </w:p>
                <w:p w:rsidR="00047137" w:rsidRPr="00435DCB" w:rsidRDefault="00047137" w:rsidP="00047137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20"/>
                      <w:szCs w:val="22"/>
                      <w:lang w:val="es-ES"/>
                    </w:rPr>
                  </w:pP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>Tiene asociadas 117.965 empresas y 1.416.811</w:t>
                  </w:r>
                  <w:r w:rsidRPr="00435DCB">
                    <w:rPr>
                      <w:b/>
                      <w:color w:val="000000"/>
                      <w:sz w:val="20"/>
                      <w:szCs w:val="24"/>
                    </w:rPr>
                    <w:t xml:space="preserve"> </w:t>
                  </w: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>trabajadores, velando por ellos, una plantilla de 2.027 empleados y 1</w:t>
                  </w:r>
                  <w:r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>20</w:t>
                  </w:r>
                  <w:r w:rsidRPr="00435DCB">
                    <w:rPr>
                      <w:rFonts w:ascii="Calibri" w:hAnsi="Calibri" w:cs="Calibri"/>
                      <w:color w:val="auto"/>
                      <w:kern w:val="0"/>
                      <w:sz w:val="20"/>
                      <w:szCs w:val="22"/>
                      <w:lang w:val="es-ES" w:eastAsia="es-ES"/>
                    </w:rPr>
                    <w:t xml:space="preserve"> centros asistenciales y administrativos en toda España.</w:t>
                  </w:r>
                  <w:r w:rsidRPr="00435DCB">
                    <w:rPr>
                      <w:rFonts w:ascii="Calibri" w:hAnsi="Calibri" w:cs="Calibri"/>
                      <w:sz w:val="20"/>
                      <w:szCs w:val="22"/>
                      <w:lang w:val="es-ES"/>
                    </w:rPr>
                    <w:t xml:space="preserve"> </w:t>
                  </w:r>
                </w:p>
                <w:p w:rsidR="00047137" w:rsidRPr="00435DCB" w:rsidRDefault="002779A5" w:rsidP="00047137">
                  <w:pPr>
                    <w:pStyle w:val="Cita"/>
                    <w:spacing w:before="0" w:after="0" w:line="240" w:lineRule="auto"/>
                    <w:jc w:val="center"/>
                    <w:rPr>
                      <w:sz w:val="20"/>
                    </w:rPr>
                  </w:pPr>
                  <w:hyperlink r:id="rId12" w:history="1">
                    <w:r w:rsidR="00047137" w:rsidRPr="00435DCB">
                      <w:rPr>
                        <w:rStyle w:val="Hipervnculo"/>
                        <w:rFonts w:eastAsia="Times New Roman"/>
                        <w:sz w:val="20"/>
                      </w:rPr>
                      <w:t>fraternidad.com</w:t>
                    </w:r>
                  </w:hyperlink>
                </w:p>
                <w:p w:rsidR="00047137" w:rsidRPr="00435DCB" w:rsidRDefault="00047137" w:rsidP="00047137">
                  <w:pPr>
                    <w:rPr>
                      <w:sz w:val="20"/>
                      <w:lang w:val="x-none" w:eastAsia="ja-JP"/>
                    </w:rPr>
                  </w:pPr>
                </w:p>
              </w:tc>
            </w:tr>
            <w:tr w:rsidR="00047137" w:rsidRPr="00E30068" w:rsidTr="00BD3376">
              <w:trPr>
                <w:trHeight w:val="275"/>
                <w:jc w:val="center"/>
              </w:trPr>
              <w:tc>
                <w:tcPr>
                  <w:tcW w:w="9068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47137" w:rsidRPr="00435DCB" w:rsidRDefault="00047137" w:rsidP="0004713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435DCB">
                    <w:rPr>
                      <w:b/>
                      <w:bCs/>
                      <w:sz w:val="20"/>
                      <w:szCs w:val="18"/>
                    </w:rPr>
                    <w:t>GABINETE DE PRENSA</w:t>
                  </w:r>
                </w:p>
                <w:p w:rsidR="00047137" w:rsidRPr="00435DCB" w:rsidRDefault="002779A5" w:rsidP="0004713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hyperlink r:id="rId13" w:history="1">
                    <w:r w:rsidR="00047137" w:rsidRPr="00435DCB">
                      <w:rPr>
                        <w:b/>
                        <w:bCs/>
                        <w:sz w:val="20"/>
                        <w:szCs w:val="18"/>
                      </w:rPr>
                      <w:t>gabineteprensa@fraternidad.com</w:t>
                    </w:r>
                  </w:hyperlink>
                </w:p>
                <w:p w:rsidR="00047137" w:rsidRDefault="00047137" w:rsidP="00047137">
                  <w:pPr>
                    <w:jc w:val="center"/>
                    <w:rPr>
                      <w:b/>
                      <w:bCs/>
                      <w:sz w:val="20"/>
                      <w:szCs w:val="18"/>
                    </w:rPr>
                  </w:pPr>
                  <w:r w:rsidRPr="00435DCB">
                    <w:rPr>
                      <w:b/>
                      <w:bCs/>
                      <w:sz w:val="20"/>
                      <w:szCs w:val="18"/>
                    </w:rPr>
                    <w:t>C/ Cervantes, 44, 1º Izquierda. 28014, Madrid</w:t>
                  </w:r>
                </w:p>
                <w:p w:rsidR="00B944AA" w:rsidRPr="00435DCB" w:rsidRDefault="00B944AA" w:rsidP="0004713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</w:rPr>
                  </w:pPr>
                </w:p>
              </w:tc>
            </w:tr>
          </w:tbl>
          <w:p w:rsidR="000511E1" w:rsidRPr="00530184" w:rsidRDefault="000511E1" w:rsidP="007844D0">
            <w:pPr>
              <w:jc w:val="both"/>
              <w:rPr>
                <w:rFonts w:ascii="Verdana" w:hAnsi="Verdana"/>
              </w:rPr>
            </w:pPr>
          </w:p>
        </w:tc>
      </w:tr>
    </w:tbl>
    <w:p w:rsidR="004C1B28" w:rsidRDefault="004C1B28" w:rsidP="000511E1"/>
    <w:sectPr w:rsidR="004C1B28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93FD8"/>
    <w:multiLevelType w:val="hybridMultilevel"/>
    <w:tmpl w:val="133E79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A2784"/>
    <w:multiLevelType w:val="hybridMultilevel"/>
    <w:tmpl w:val="48DA3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049F6"/>
    <w:multiLevelType w:val="hybridMultilevel"/>
    <w:tmpl w:val="FFD43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66AFA"/>
    <w:multiLevelType w:val="hybridMultilevel"/>
    <w:tmpl w:val="AD9E3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37BD9"/>
    <w:multiLevelType w:val="hybridMultilevel"/>
    <w:tmpl w:val="14463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A0"/>
    <w:rsid w:val="000222E2"/>
    <w:rsid w:val="00047137"/>
    <w:rsid w:val="000511E1"/>
    <w:rsid w:val="000C40CF"/>
    <w:rsid w:val="00131DEC"/>
    <w:rsid w:val="00137F4D"/>
    <w:rsid w:val="002534A0"/>
    <w:rsid w:val="002779A5"/>
    <w:rsid w:val="002D23DC"/>
    <w:rsid w:val="00363507"/>
    <w:rsid w:val="003E3876"/>
    <w:rsid w:val="003F1BC3"/>
    <w:rsid w:val="00420DF6"/>
    <w:rsid w:val="004C1B28"/>
    <w:rsid w:val="006D2001"/>
    <w:rsid w:val="00736D8E"/>
    <w:rsid w:val="0079301C"/>
    <w:rsid w:val="00894D46"/>
    <w:rsid w:val="00926D95"/>
    <w:rsid w:val="00933DA2"/>
    <w:rsid w:val="009349DE"/>
    <w:rsid w:val="00972469"/>
    <w:rsid w:val="009A5040"/>
    <w:rsid w:val="00A15F16"/>
    <w:rsid w:val="00A26C5C"/>
    <w:rsid w:val="00B34057"/>
    <w:rsid w:val="00B944AA"/>
    <w:rsid w:val="00C24EED"/>
    <w:rsid w:val="00D018D3"/>
    <w:rsid w:val="00E87B50"/>
    <w:rsid w:val="00E9762F"/>
    <w:rsid w:val="00EA3EA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25133F4-3C61-4222-96B5-63D9F47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E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11E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11E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11E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11E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11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511E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A50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noticias/guia-de-buenas-practicas-en-contaminantes-quimicos-para-pymes" TargetMode="External"/><Relationship Id="rId13" Type="http://schemas.openxmlformats.org/officeDocument/2006/relationships/hyperlink" Target="../AppData/Local/Microsoft/Windows/INetCache/Content.Outlook/AppData/Local/Microsoft/AppData/Local/Microsoft/Windows/INetCache/Content.Outlook/AppData/Local/Microsoft/Windows/INetCache/Content.Outlook/AppData/Local/Microsoft/Windows/INetCache/Content.Outlook/AppData/Local/Microsoft/Windows/INetCache/Content.Outlook/AppData/Local/Microsoft/Windows/INetCache/Content.Outlook/AppData/Local/Microsoft/Windows/INetCache/Content.Outlook/AppData/Local/Microsoft/Windows/INetCache/Content.Outlook/AppData/Local/Microsoft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hyperlink" Target="https://extranet.fraternidad.com/fraternidad.extranet.ae.web/login/login.aspx?tu=18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xtranet.fraternidad.com/fraternidad.extranet.ae.web/login/login.aspx?tu=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es-ES/nuevas-guias-de-buenas-practicas-preventiva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917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14</cp:revision>
  <dcterms:created xsi:type="dcterms:W3CDTF">2021-07-16T07:57:00Z</dcterms:created>
  <dcterms:modified xsi:type="dcterms:W3CDTF">2021-07-29T09:56:00Z</dcterms:modified>
</cp:coreProperties>
</file>