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</w:tblGrid>
      <w:tr w:rsidR="00A02959" w:rsidTr="00A02959">
        <w:trPr>
          <w:trHeight w:val="799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59" w:rsidRDefault="00A029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81200" cy="533400"/>
                  <wp:effectExtent l="0" t="0" r="0" b="0"/>
                  <wp:docPr id="2" name="Imagen 2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959" w:rsidRDefault="00A029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spacing w:line="256" w:lineRule="auto"/>
              <w:jc w:val="center"/>
              <w:rPr>
                <w:b/>
                <w:bCs/>
                <w:color w:val="1F497D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en-US"/>
              </w:rPr>
              <w:t>NOTA DE PRENSA</w:t>
            </w: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rPr>
                <w:b/>
                <w:bCs/>
                <w:color w:val="1F497D"/>
                <w:sz w:val="32"/>
                <w:szCs w:val="32"/>
                <w:lang w:eastAsia="en-US"/>
              </w:rPr>
            </w:pP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 w:rsidP="00F43E8A">
            <w:pPr>
              <w:autoSpaceDE w:val="0"/>
              <w:autoSpaceDN w:val="0"/>
              <w:adjustRightInd w:val="0"/>
              <w:spacing w:line="256" w:lineRule="auto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 w:eastAsia="en-US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Fraternidad-Muprespa entrega en </w:t>
            </w:r>
            <w:r w:rsidR="00AB1A10" w:rsidRPr="00F43E8A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Bilbao</w:t>
            </w:r>
            <w:r w:rsidR="00AB1A10"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  <w:lang w:eastAsia="en-US"/>
              </w:rPr>
              <w:t>el Distintivo Cero Accidentes a 28 empresas por su nula siniestralidad</w:t>
            </w:r>
          </w:p>
        </w:tc>
      </w:tr>
      <w:tr w:rsidR="00A02959" w:rsidTr="00A02959">
        <w:trPr>
          <w:trHeight w:val="126"/>
          <w:jc w:val="center"/>
        </w:trPr>
        <w:tc>
          <w:tcPr>
            <w:tcW w:w="903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59" w:rsidRDefault="00A02959">
            <w:pPr>
              <w:rPr>
                <w:rFonts w:ascii="Verdana" w:hAnsi="Verdana"/>
                <w:b/>
                <w:color w:val="00B050"/>
                <w:sz w:val="26"/>
                <w:szCs w:val="26"/>
                <w:lang w:val="es-ES_tradnl" w:eastAsia="en-US"/>
              </w:rPr>
            </w:pPr>
          </w:p>
        </w:tc>
      </w:tr>
      <w:tr w:rsidR="00A02959" w:rsidTr="00A02959">
        <w:trPr>
          <w:trHeight w:val="8970"/>
          <w:jc w:val="center"/>
        </w:trPr>
        <w:tc>
          <w:tcPr>
            <w:tcW w:w="9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</w:pP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 xml:space="preserve">Bilbao, </w:t>
            </w:r>
            <w:r w:rsidR="00053943"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>5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  <w:lang w:eastAsia="en-US"/>
              </w:rPr>
              <w:t xml:space="preserve"> de julio de 2023</w:t>
            </w:r>
            <w:r>
              <w:rPr>
                <w:rFonts w:ascii="Verdana" w:hAnsi="Verdana"/>
                <w:sz w:val="24"/>
                <w:szCs w:val="24"/>
                <w:lang w:eastAsia="en-US"/>
              </w:rPr>
              <w:t xml:space="preserve"> </w:t>
            </w:r>
          </w:p>
          <w:p w:rsidR="00A02959" w:rsidRDefault="00A02959">
            <w:pPr>
              <w:spacing w:line="256" w:lineRule="auto"/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</w:p>
          <w:p w:rsidR="00A02959" w:rsidRDefault="00A02959" w:rsidP="00E63AF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56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La Mutua Colaboradora con la Seguridad Social reconoce el  trabajo preventivo que ha supuesto no haber declarado accidentes de trabajo o enfermedades profesionales en  quince, diez o cinco años </w:t>
            </w:r>
          </w:p>
          <w:p w:rsidR="00A02959" w:rsidRDefault="00A02959" w:rsidP="00E63AF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El acto de entrega contó con la presencia de Lourdes </w:t>
            </w:r>
            <w:proofErr w:type="spellStart"/>
            <w:r>
              <w:rPr>
                <w:rFonts w:ascii="Verdana" w:hAnsi="Verdana" w:cs="Arial"/>
                <w:b/>
                <w:color w:val="000000"/>
                <w:lang w:eastAsia="en-US"/>
              </w:rPr>
              <w:t>Íscar</w:t>
            </w:r>
            <w:proofErr w:type="spellEnd"/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, directora General de </w:t>
            </w:r>
            <w:proofErr w:type="spellStart"/>
            <w:r>
              <w:rPr>
                <w:rFonts w:ascii="Verdana" w:hAnsi="Verdana" w:cs="Arial"/>
                <w:b/>
                <w:color w:val="000000"/>
                <w:lang w:eastAsia="en-US"/>
              </w:rPr>
              <w:t>Osalan</w:t>
            </w:r>
            <w:proofErr w:type="spellEnd"/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, que destacó que la sociedad debe perseguir el objetivo de trabajar en entornos saludables  </w:t>
            </w:r>
          </w:p>
          <w:p w:rsidR="00A02959" w:rsidRDefault="00A0295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720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color w:val="000000"/>
                <w:lang w:eastAsia="en-US"/>
              </w:rPr>
              <w:t xml:space="preserve"> </w:t>
            </w:r>
          </w:p>
          <w:p w:rsidR="00A02959" w:rsidRPr="00F43E8A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 xml:space="preserve">La sede </w:t>
            </w:r>
            <w:r w:rsidR="00AB1A10" w:rsidRPr="00F43E8A">
              <w:rPr>
                <w:rFonts w:ascii="Verdana" w:eastAsia="Times New Roman" w:hAnsi="Verdana" w:cs="Arial"/>
                <w:lang w:eastAsia="en-US"/>
              </w:rPr>
              <w:t xml:space="preserve">bilbaína </w:t>
            </w:r>
            <w:r w:rsidRPr="00F43E8A">
              <w:rPr>
                <w:rFonts w:ascii="Verdana" w:eastAsia="Times New Roman" w:hAnsi="Verdana" w:cs="Arial"/>
                <w:lang w:eastAsia="en-US"/>
              </w:rPr>
              <w:t>de la dirección Provincial de Fraternidad-</w:t>
            </w:r>
            <w:proofErr w:type="spellStart"/>
            <w:r w:rsidRPr="00F43E8A">
              <w:rPr>
                <w:rFonts w:ascii="Verdana" w:eastAsia="Times New Roman" w:hAnsi="Verdana" w:cs="Arial"/>
                <w:lang w:eastAsia="en-US"/>
              </w:rPr>
              <w:t>Muprespa</w:t>
            </w:r>
            <w:proofErr w:type="spellEnd"/>
            <w:r w:rsidRPr="00F43E8A">
              <w:rPr>
                <w:rFonts w:ascii="Verdana" w:eastAsia="Times New Roman" w:hAnsi="Verdana" w:cs="Arial"/>
                <w:lang w:eastAsia="en-US"/>
              </w:rPr>
              <w:t xml:space="preserve"> en </w:t>
            </w:r>
            <w:proofErr w:type="spellStart"/>
            <w:r w:rsidRPr="00F43E8A">
              <w:rPr>
                <w:rFonts w:ascii="Verdana" w:eastAsia="Times New Roman" w:hAnsi="Verdana" w:cs="Arial"/>
                <w:lang w:eastAsia="en-US"/>
              </w:rPr>
              <w:t>Bizkaia</w:t>
            </w:r>
            <w:proofErr w:type="spellEnd"/>
            <w:r w:rsidRPr="00F43E8A">
              <w:rPr>
                <w:rFonts w:ascii="Verdana" w:eastAsia="Times New Roman" w:hAnsi="Verdana" w:cs="Arial"/>
                <w:lang w:eastAsia="en-US"/>
              </w:rPr>
              <w:t xml:space="preserve"> acogió el pasado viernes 30 de junio el acto de entrega de los Distintivos Cero Accidentes a las empresas que no han tenido accidentes laborales o enfermedades profesionales en los últimos quince, diez o cinco años, acto que contó con la presencia de </w:t>
            </w:r>
            <w:r w:rsidRPr="00F43E8A">
              <w:rPr>
                <w:rFonts w:ascii="Verdana" w:eastAsia="Times New Roman" w:hAnsi="Verdana" w:cs="Arial"/>
                <w:b/>
                <w:lang w:eastAsia="en-US"/>
              </w:rPr>
              <w:t xml:space="preserve">Lourdes </w:t>
            </w:r>
            <w:proofErr w:type="spellStart"/>
            <w:r w:rsidRPr="00F43E8A">
              <w:rPr>
                <w:rFonts w:ascii="Verdana" w:eastAsia="Times New Roman" w:hAnsi="Verdana" w:cs="Arial"/>
                <w:b/>
                <w:lang w:eastAsia="en-US"/>
              </w:rPr>
              <w:t>Íscar</w:t>
            </w:r>
            <w:proofErr w:type="spellEnd"/>
            <w:r w:rsidRPr="00F43E8A">
              <w:rPr>
                <w:rFonts w:ascii="Verdana" w:eastAsia="Times New Roman" w:hAnsi="Verdana" w:cs="Arial"/>
                <w:lang w:eastAsia="en-US"/>
              </w:rPr>
              <w:t xml:space="preserve">, directora General de </w:t>
            </w:r>
            <w:r w:rsidRPr="00F43E8A">
              <w:rPr>
                <w:rFonts w:ascii="Verdana" w:eastAsia="Times New Roman" w:hAnsi="Verdana" w:cs="Arial"/>
                <w:b/>
                <w:lang w:eastAsia="en-US"/>
              </w:rPr>
              <w:t>OSALAN, Instituto Vasco de Seguridad y Salud Laboral</w:t>
            </w:r>
            <w:r w:rsidRPr="00F43E8A">
              <w:rPr>
                <w:rFonts w:ascii="Verdana" w:eastAsia="Times New Roman" w:hAnsi="Verdana" w:cs="Arial"/>
                <w:lang w:eastAsia="en-US"/>
              </w:rPr>
              <w:t>.</w:t>
            </w:r>
          </w:p>
          <w:p w:rsidR="00A02959" w:rsidRPr="00F43E8A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 w:rsidRPr="00F43E8A">
              <w:rPr>
                <w:rFonts w:ascii="Verdana" w:hAnsi="Verdana"/>
                <w:color w:val="000000"/>
                <w:lang w:eastAsia="en-US"/>
              </w:rPr>
              <w:t>Los distintivos están destinados a ser colocados en lugar visible de la empresa para evidenciar su proactividad en favor de la seguridad, salud y bienestar laboral. El resto de empresas merecedoras del distintivo, un</w:t>
            </w:r>
            <w:r w:rsidR="00B54906" w:rsidRPr="00F43E8A">
              <w:rPr>
                <w:rFonts w:ascii="Verdana" w:hAnsi="Verdana"/>
                <w:color w:val="000000"/>
                <w:lang w:eastAsia="en-US"/>
              </w:rPr>
              <w:t xml:space="preserve"> centenar,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lo recibirán próximamente.</w:t>
            </w: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pStyle w:val="NormalWeb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rFonts w:ascii="Verdana" w:hAnsi="Verdan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Las entidades reconocidas pueden compartir sus buenas prácticas en la campaña que la Mutua desarrolla en sus redes sociales con el </w:t>
            </w:r>
            <w:proofErr w:type="spellStart"/>
            <w:r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hastag</w:t>
            </w:r>
            <w:proofErr w:type="spellEnd"/>
            <w:r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 #</w:t>
            </w:r>
            <w:proofErr w:type="spellStart"/>
            <w:r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CeroAccidentesFM</w:t>
            </w:r>
            <w:proofErr w:type="spellEnd"/>
            <w:r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bCs/>
                <w:lang w:eastAsia="en-US"/>
              </w:rPr>
              <w:t>Jaione Escobal</w:t>
            </w:r>
            <w:r>
              <w:rPr>
                <w:rFonts w:ascii="Verdana" w:eastAsia="Times New Roman" w:hAnsi="Verdana" w:cs="Arial"/>
                <w:lang w:eastAsia="en-US"/>
              </w:rPr>
              <w:t>, directora provincial de Fraternidad-</w:t>
            </w:r>
            <w:proofErr w:type="spellStart"/>
            <w:r>
              <w:rPr>
                <w:rFonts w:ascii="Verdana" w:eastAsia="Times New Roman" w:hAnsi="Verdana" w:cs="Arial"/>
                <w:lang w:eastAsia="en-US"/>
              </w:rPr>
              <w:t>Muprespa</w:t>
            </w:r>
            <w:proofErr w:type="spellEnd"/>
            <w:r>
              <w:rPr>
                <w:rFonts w:ascii="Verdana" w:eastAsia="Times New Roman" w:hAnsi="Verdana" w:cs="Arial"/>
                <w:lang w:eastAsia="en-US"/>
              </w:rPr>
              <w:t xml:space="preserve"> en </w:t>
            </w:r>
            <w:proofErr w:type="spellStart"/>
            <w:r>
              <w:rPr>
                <w:rFonts w:ascii="Verdana" w:eastAsia="Times New Roman" w:hAnsi="Verdana" w:cs="Arial"/>
                <w:lang w:eastAsia="en-US"/>
              </w:rPr>
              <w:t>Bizkaia</w:t>
            </w:r>
            <w:proofErr w:type="spellEnd"/>
            <w:r>
              <w:rPr>
                <w:rFonts w:ascii="Verdana" w:eastAsia="Times New Roman" w:hAnsi="Verdana" w:cs="Arial"/>
                <w:lang w:eastAsia="en-US"/>
              </w:rPr>
              <w:t xml:space="preserve">, dio la bienvenida al acto a los representantes de las empresas, agradeciendo su compromiso para erradicar y contener la siniestralidad laboral. 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Cs/>
                <w:lang w:eastAsia="en-US"/>
              </w:rPr>
              <w:t>Lourdes Iscar</w:t>
            </w:r>
            <w:r>
              <w:rPr>
                <w:rFonts w:ascii="Verdana" w:eastAsia="Times New Roman" w:hAnsi="Verdana" w:cs="Arial"/>
                <w:lang w:eastAsia="en-US"/>
              </w:rPr>
              <w:t xml:space="preserve"> intervino a continuación y destacó que “realidades como este acto de reconocimiento reflejan que va calando el convencimiento de que la consecución de la seguridad y salud laborales y, en definitiva, el derecho de todas las personas a desempeñar su trabajo en un entorno saludable y que contribuya a su bienestar, son objetivos que toda sociedad debe perseguir”. “No puedo dejar de insistir” añadió “en que la prevención del riesgo laboral debe ser vista como un valor de las </w:t>
            </w:r>
            <w:r>
              <w:rPr>
                <w:rFonts w:ascii="Verdana" w:eastAsia="Times New Roman" w:hAnsi="Verdana" w:cs="Arial"/>
                <w:lang w:eastAsia="en-US"/>
              </w:rPr>
              <w:lastRenderedPageBreak/>
              <w:t xml:space="preserve">empresas en el marco de la consolidación de un tejido empresarial sostenible, moderno y competitivo”, concluyó. 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b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>Natalia Fdez. Laviada</w:t>
            </w:r>
            <w:r>
              <w:rPr>
                <w:rFonts w:ascii="Verdana" w:eastAsia="Times New Roman" w:hAnsi="Verdana" w:cs="Arial"/>
                <w:lang w:eastAsia="en-US"/>
              </w:rPr>
              <w:t xml:space="preserve">, subdirectora General de Prevención, Calidad y Comunicación de Fraternidad-Muprespa, animó a las empresas asistentes </w:t>
            </w:r>
            <w:r w:rsidR="00053943">
              <w:rPr>
                <w:rFonts w:ascii="Verdana" w:eastAsia="Times New Roman" w:hAnsi="Verdana" w:cs="Arial"/>
                <w:lang w:eastAsia="en-US"/>
              </w:rPr>
              <w:t>“</w:t>
            </w:r>
            <w:r>
              <w:rPr>
                <w:rFonts w:ascii="Verdana" w:eastAsia="Times New Roman" w:hAnsi="Verdana" w:cs="Arial"/>
                <w:lang w:eastAsia="en-US"/>
              </w:rPr>
              <w:t>a continuar en esa línea de cuidado y promoción de la salud</w:t>
            </w:r>
            <w:r w:rsidR="00053943">
              <w:rPr>
                <w:rFonts w:ascii="Verdana" w:eastAsia="Times New Roman" w:hAnsi="Verdana" w:cs="Arial"/>
                <w:lang w:eastAsia="en-US"/>
              </w:rPr>
              <w:t>”</w:t>
            </w:r>
            <w:r>
              <w:rPr>
                <w:rFonts w:ascii="Verdana" w:eastAsia="Times New Roman" w:hAnsi="Verdana" w:cs="Arial"/>
                <w:lang w:eastAsia="en-US"/>
              </w:rPr>
              <w:t>, tras trasladarles la enhorabuena en nombre de la entidad</w:t>
            </w:r>
            <w:r w:rsidR="0009420C">
              <w:rPr>
                <w:rFonts w:ascii="Verdana" w:eastAsia="Times New Roman" w:hAnsi="Verdana" w:cs="Arial"/>
                <w:lang w:eastAsia="en-US"/>
              </w:rPr>
              <w:t xml:space="preserve">, </w:t>
            </w:r>
            <w:r w:rsidR="00053943">
              <w:rPr>
                <w:rFonts w:ascii="Verdana" w:eastAsia="Times New Roman" w:hAnsi="Verdana" w:cs="Arial"/>
                <w:lang w:eastAsia="en-US"/>
              </w:rPr>
              <w:t>“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 xml:space="preserve">pues lamentablemente en prevención se es noticia cuando la gestión falla, no cuando </w:t>
            </w:r>
            <w:r w:rsidR="00053943">
              <w:rPr>
                <w:rFonts w:ascii="Verdana" w:eastAsia="Times New Roman" w:hAnsi="Verdana" w:cs="Arial"/>
                <w:lang w:eastAsia="en-US"/>
              </w:rPr>
              <w:t xml:space="preserve">hay 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>un éxito continuado, como en el caso de los presentes</w:t>
            </w:r>
            <w:r w:rsidR="00053943">
              <w:rPr>
                <w:rFonts w:ascii="Verdana" w:eastAsia="Times New Roman" w:hAnsi="Verdana" w:cs="Arial"/>
                <w:lang w:eastAsia="en-US"/>
              </w:rPr>
              <w:t>”</w:t>
            </w:r>
            <w:r w:rsidRPr="00053943">
              <w:rPr>
                <w:rFonts w:ascii="Verdana" w:eastAsia="Times New Roman" w:hAnsi="Verdana" w:cs="Arial"/>
                <w:lang w:eastAsia="en-US"/>
              </w:rPr>
              <w:t>.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>Dolores Rico</w:t>
            </w:r>
            <w:r>
              <w:rPr>
                <w:rFonts w:ascii="Verdana" w:eastAsia="Times New Roman" w:hAnsi="Verdana" w:cs="Arial"/>
                <w:lang w:eastAsia="en-US"/>
              </w:rPr>
              <w:t>, formadora y consultora de Seguridad, Salud y Bienestar Laboral, habló de los nuevos modelos de gestión de la prevención que, como Visión Zero, ponen el foco en las personas</w:t>
            </w:r>
            <w:r w:rsidR="00053943">
              <w:rPr>
                <w:rFonts w:ascii="Verdana" w:eastAsia="Times New Roman" w:hAnsi="Verdana" w:cs="Arial"/>
                <w:lang w:eastAsia="en-US"/>
              </w:rPr>
              <w:t>,</w:t>
            </w:r>
            <w:r w:rsidR="0009420C">
              <w:rPr>
                <w:rFonts w:ascii="Verdana" w:eastAsia="Times New Roman" w:hAnsi="Verdana" w:cs="Arial"/>
                <w:lang w:eastAsia="en-US"/>
              </w:rPr>
              <w:t xml:space="preserve"> 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 xml:space="preserve">y de métodos como </w:t>
            </w:r>
            <w:r w:rsidR="00053943" w:rsidRPr="00053943">
              <w:rPr>
                <w:rFonts w:ascii="Verdana" w:eastAsia="Times New Roman" w:hAnsi="Verdana" w:cs="Arial"/>
                <w:lang w:eastAsia="en-US"/>
              </w:rPr>
              <w:t>‘</w:t>
            </w:r>
            <w:proofErr w:type="spellStart"/>
            <w:r w:rsidR="0009420C" w:rsidRPr="00053943">
              <w:rPr>
                <w:rFonts w:ascii="Verdana" w:eastAsia="Times New Roman" w:hAnsi="Verdana" w:cs="Arial"/>
                <w:lang w:eastAsia="en-US"/>
              </w:rPr>
              <w:t>LegoSeriousPlay</w:t>
            </w:r>
            <w:proofErr w:type="spellEnd"/>
            <w:r w:rsidR="00053943" w:rsidRPr="00053943">
              <w:rPr>
                <w:rFonts w:ascii="Verdana" w:eastAsia="Times New Roman" w:hAnsi="Verdana" w:cs="Arial"/>
                <w:lang w:eastAsia="en-US"/>
              </w:rPr>
              <w:t>’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 xml:space="preserve"> para motivar al cambio.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bCs/>
                <w:lang w:eastAsia="en-US"/>
              </w:rPr>
              <w:t>Tras la entrega de los distintivos a las empresas,</w:t>
            </w:r>
            <w:r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José Ignacio Díaz Lucas</w:t>
            </w:r>
            <w:r>
              <w:rPr>
                <w:rFonts w:ascii="Verdana" w:eastAsia="Times New Roman" w:hAnsi="Verdana" w:cs="Arial"/>
                <w:lang w:eastAsia="en-US"/>
              </w:rPr>
              <w:t>, director Territorial Norte de la Mutua, clausuró el acto aportando datos de siniestralidad en el pasado ejercicio, lo que contribuyó a destacar aún más el logro de las empresas presente</w:t>
            </w:r>
            <w:bookmarkStart w:id="0" w:name="_GoBack"/>
            <w:bookmarkEnd w:id="0"/>
            <w:r>
              <w:rPr>
                <w:rFonts w:ascii="Verdana" w:eastAsia="Times New Roman" w:hAnsi="Verdana" w:cs="Arial"/>
                <w:lang w:eastAsia="en-US"/>
              </w:rPr>
              <w:t xml:space="preserve">s en el acto, 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>asesorías</w:t>
            </w:r>
            <w:r w:rsidR="00053943" w:rsidRPr="00053943">
              <w:rPr>
                <w:rFonts w:ascii="Verdana" w:eastAsia="Times New Roman" w:hAnsi="Verdana" w:cs="Arial"/>
                <w:lang w:eastAsia="en-US"/>
              </w:rPr>
              <w:t xml:space="preserve"> y pymes,</w:t>
            </w:r>
            <w:r w:rsidR="00053943">
              <w:rPr>
                <w:rFonts w:ascii="Verdana" w:eastAsia="Times New Roman" w:hAnsi="Verdana" w:cs="Arial"/>
                <w:lang w:eastAsia="en-US"/>
              </w:rPr>
              <w:t xml:space="preserve"> </w:t>
            </w:r>
            <w:r>
              <w:rPr>
                <w:rFonts w:ascii="Verdana" w:eastAsia="Times New Roman" w:hAnsi="Verdana" w:cs="Arial"/>
                <w:lang w:eastAsia="en-US"/>
              </w:rPr>
              <w:t>a quienes trasladó que deben sentirse orgullosas</w:t>
            </w:r>
            <w:r w:rsidR="0009420C">
              <w:rPr>
                <w:rFonts w:ascii="Verdana" w:eastAsia="Times New Roman" w:hAnsi="Verdana" w:cs="Arial"/>
                <w:lang w:eastAsia="en-US"/>
              </w:rPr>
              <w:t xml:space="preserve"> </w:t>
            </w:r>
            <w:r w:rsidR="0009420C" w:rsidRPr="00053943">
              <w:rPr>
                <w:rFonts w:ascii="Verdana" w:eastAsia="Times New Roman" w:hAnsi="Verdana" w:cs="Arial"/>
                <w:lang w:eastAsia="en-US"/>
              </w:rPr>
              <w:t>de su buen hacer</w:t>
            </w:r>
            <w:r w:rsidRPr="00053943">
              <w:rPr>
                <w:rFonts w:ascii="Verdana" w:eastAsia="Times New Roman" w:hAnsi="Verdana" w:cs="Arial"/>
                <w:lang w:eastAsia="en-US"/>
              </w:rPr>
              <w:t>.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</w:rPr>
              <w:br w:type="page"/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Estas fueron las empresas que recibieron el distintivo cero accidentes:</w:t>
            </w:r>
            <w:r>
              <w:rPr>
                <w:rFonts w:ascii="Verdana" w:eastAsia="Times New Roman" w:hAnsi="Verdana"/>
                <w:lang w:eastAsia="en-US"/>
              </w:rPr>
              <w:t xml:space="preserve"> </w:t>
            </w:r>
          </w:p>
          <w:p w:rsidR="00A02959" w:rsidRDefault="00A02959">
            <w:pPr>
              <w:shd w:val="clear" w:color="auto" w:fill="FFFFFF"/>
              <w:spacing w:line="256" w:lineRule="auto"/>
              <w:jc w:val="both"/>
              <w:rPr>
                <w:rFonts w:ascii="Verdana" w:eastAsia="Times New Roman" w:hAnsi="Verdana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DISTINTIVO BRONCE, 5 AÑOS SIN ACCIDENTES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ABAROAMETAL,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ASESORES E INVERSIONES 2.000,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BIOESPAÑA 9000,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CEESA, S.A.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ELECTRÓNICA LUX,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HPD PROCESS ENGINEERING, S.A. (GRUPO VEOLIA)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INGENIERÍA DE BOMBAS CENTRÍFUGAS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JIMÉNEZ CRUZ, MARÍA CARMEN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JLQ ISMAF,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KUDEABIDE,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LABORATORIOS GORESI-PHARMA, S.L.</w:t>
            </w:r>
          </w:p>
          <w:p w:rsidR="00A02959" w:rsidRDefault="00A02959">
            <w:pPr>
              <w:spacing w:line="256" w:lineRule="auto"/>
              <w:rPr>
                <w:rFonts w:ascii="Verdana" w:hAnsi="Verdana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DISTINTIVO PLATA, 10 AÑOS SIN ACCIDENTES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AFIBISA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lastRenderedPageBreak/>
              <w:t>ALMI BILBAO S.A.L.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ASOCIACIÓN CLARA CAMPOAMOR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CLUB DEPORTIVO IRLANDESAS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COLEGIO ZABALBURU IKASTETXEA S COOP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DAIR INGENIEROS,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ELLACURIA BERISTAIN, MARÍA ELENA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FUNDACIÓN SOCIAL IGNACIO ELLACURÍA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HOGAR IZARRA PRO RECUPERACIÓN DE PACIENTES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IBAIZÁBAL MANAGEMENT SERVICES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DISTINTIVO ORO, 15 AÑOS SIN ACCIDENTES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ASCOBI</w:t>
            </w:r>
          </w:p>
          <w:p w:rsidR="00A02959" w:rsidRPr="00F43E8A" w:rsidRDefault="00AB1A10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CO</w:t>
            </w:r>
            <w:r w:rsidRPr="00F43E8A">
              <w:rPr>
                <w:rFonts w:ascii="Verdana" w:eastAsia="Times New Roman" w:hAnsi="Verdana"/>
                <w:color w:val="000000"/>
                <w:lang w:eastAsia="en-US"/>
              </w:rPr>
              <w:t>HS PSICÓ</w:t>
            </w:r>
            <w:r w:rsidR="00A02959" w:rsidRPr="00F43E8A">
              <w:rPr>
                <w:rFonts w:ascii="Verdana" w:eastAsia="Times New Roman" w:hAnsi="Verdana"/>
                <w:color w:val="000000"/>
                <w:lang w:eastAsia="en-US"/>
              </w:rPr>
              <w:t>LOGOS CONSULTORES, S.L.</w:t>
            </w:r>
          </w:p>
          <w:p w:rsidR="00A02959" w:rsidRPr="00F43E8A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 w:rsidRPr="00F43E8A">
              <w:rPr>
                <w:rFonts w:ascii="Verdana" w:eastAsia="Times New Roman" w:hAnsi="Verdana"/>
                <w:color w:val="000000"/>
                <w:lang w:eastAsia="en-US"/>
              </w:rPr>
              <w:t>INDASISTEMAS MILENIUM, S.L. GRUPO CONSULMAR</w:t>
            </w:r>
          </w:p>
          <w:p w:rsidR="00A02959" w:rsidRPr="00F43E8A" w:rsidRDefault="00AB1A10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 w:rsidRPr="00F43E8A">
              <w:rPr>
                <w:rFonts w:ascii="Verdana" w:eastAsia="Times New Roman" w:hAnsi="Verdana"/>
                <w:color w:val="000000"/>
                <w:lang w:eastAsia="en-US"/>
              </w:rPr>
              <w:t>INMOBILIARIA BILBAÍ</w:t>
            </w:r>
            <w:r w:rsidR="00A02959" w:rsidRPr="00F43E8A">
              <w:rPr>
                <w:rFonts w:ascii="Verdana" w:eastAsia="Times New Roman" w:hAnsi="Verdana"/>
                <w:color w:val="000000"/>
                <w:lang w:eastAsia="en-US"/>
              </w:rPr>
              <w:t xml:space="preserve">NA S.A. 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 w:rsidRPr="00F43E8A">
              <w:rPr>
                <w:rFonts w:ascii="Verdana" w:eastAsia="Times New Roman" w:hAnsi="Verdana"/>
                <w:color w:val="000000"/>
                <w:lang w:eastAsia="en-US"/>
              </w:rPr>
              <w:t>JAMES WALKER IBÉRICA, S.A.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>TAX CONSULTING 2000, S.L.</w:t>
            </w:r>
          </w:p>
          <w:p w:rsidR="00A02959" w:rsidRDefault="00A02959">
            <w:pPr>
              <w:shd w:val="clear" w:color="auto" w:fill="FFFFFF"/>
              <w:spacing w:line="256" w:lineRule="auto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color w:val="000000"/>
                <w:lang w:eastAsia="en-US"/>
              </w:rPr>
              <w:t xml:space="preserve">TRAPAGA ASESORES, S.L. </w:t>
            </w: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5402580" cy="243840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Pie de foto: Foto de grupo de los representantes de las empresas distinguidas junto a representantes institucionales y directivos de la Mutua en la dirección Provincial de Fraternidad-Muprespa </w:t>
            </w:r>
          </w:p>
          <w:p w:rsidR="00A02959" w:rsidRDefault="00A02959">
            <w:pPr>
              <w:spacing w:line="25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</w:p>
          <w:p w:rsidR="00A02959" w:rsidRDefault="00A02959">
            <w:pPr>
              <w:spacing w:line="256" w:lineRule="auto"/>
              <w:jc w:val="center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iCs/>
                <w:sz w:val="18"/>
                <w:szCs w:val="18"/>
                <w:highlight w:val="lightGray"/>
                <w:lang w:eastAsia="en-US"/>
              </w:rPr>
              <w:lastRenderedPageBreak/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  <w:lang w:eastAsia="en-US"/>
              </w:rPr>
              <w:t xml:space="preserve">distintivo, seguridad y salud laboral, prevención de riesgos laborales, empresas mutualistas, accidente de trabajo, enfermedad profesional, reconocimiento </w:t>
            </w:r>
          </w:p>
          <w:p w:rsidR="00A02959" w:rsidRDefault="00A02959">
            <w:pPr>
              <w:spacing w:line="256" w:lineRule="auto"/>
              <w:jc w:val="center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</w:p>
          <w:p w:rsidR="00A02959" w:rsidRDefault="00A02959">
            <w:pPr>
              <w:spacing w:line="256" w:lineRule="auto"/>
              <w:jc w:val="both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02959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02959" w:rsidRDefault="00A02959">
                  <w:pPr>
                    <w:spacing w:line="25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Sobre Fraternidad-Muprespa: </w:t>
                  </w:r>
                </w:p>
                <w:p w:rsidR="00A02959" w:rsidRDefault="00A02959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A02959" w:rsidRDefault="00A02959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A02959" w:rsidRDefault="00A02959">
                  <w:pPr>
                    <w:spacing w:line="256" w:lineRule="auto"/>
                    <w:rPr>
                      <w:lang w:eastAsia="ja-JP"/>
                    </w:rPr>
                  </w:pPr>
                </w:p>
                <w:p w:rsidR="00A02959" w:rsidRDefault="00053943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A02959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A02959" w:rsidRDefault="00A02959">
                  <w:pPr>
                    <w:spacing w:line="256" w:lineRule="auto"/>
                    <w:rPr>
                      <w:lang w:val="x-none" w:eastAsia="ja-JP"/>
                    </w:rPr>
                  </w:pPr>
                </w:p>
                <w:p w:rsidR="00A02959" w:rsidRDefault="00A02959">
                  <w:pPr>
                    <w:spacing w:after="100" w:line="256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GABINETE DE PRENSA</w:t>
                  </w:r>
                </w:p>
                <w:p w:rsidR="00A02959" w:rsidRDefault="00053943">
                  <w:pPr>
                    <w:spacing w:after="100" w:line="256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hyperlink r:id="rId9" w:history="1">
                    <w:r w:rsidR="00A02959">
                      <w:rPr>
                        <w:rStyle w:val="Hipervnculo"/>
                        <w:b/>
                        <w:bCs/>
                        <w:color w:val="auto"/>
                        <w:sz w:val="18"/>
                        <w:szCs w:val="18"/>
                        <w:u w:val="none"/>
                        <w:lang w:eastAsia="en-US"/>
                      </w:rPr>
                      <w:t>gabineteprensa@fraternidad.com</w:t>
                    </w:r>
                  </w:hyperlink>
                </w:p>
                <w:p w:rsidR="00A02959" w:rsidRDefault="00A02959">
                  <w:pPr>
                    <w:spacing w:after="100" w:line="256" w:lineRule="auto"/>
                    <w:jc w:val="center"/>
                    <w:rPr>
                      <w:lang w:val="x-none" w:eastAsia="ja-JP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C/ Cervantes, 44, 1º Izquierda. 28014, Madrid</w:t>
                  </w:r>
                </w:p>
              </w:tc>
            </w:tr>
          </w:tbl>
          <w:p w:rsidR="00A02959" w:rsidRDefault="00A02959">
            <w:pPr>
              <w:spacing w:line="256" w:lineRule="auto"/>
              <w:jc w:val="both"/>
              <w:rPr>
                <w:rFonts w:ascii="Verdana" w:hAnsi="Verdana"/>
                <w:lang w:eastAsia="en-US"/>
              </w:rPr>
            </w:pPr>
          </w:p>
        </w:tc>
      </w:tr>
    </w:tbl>
    <w:p w:rsidR="00A02959" w:rsidRDefault="00A02959" w:rsidP="00A02959"/>
    <w:p w:rsidR="0044335E" w:rsidRDefault="0044335E"/>
    <w:sectPr w:rsidR="00443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0896"/>
    <w:multiLevelType w:val="hybridMultilevel"/>
    <w:tmpl w:val="17429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93"/>
    <w:rsid w:val="00053943"/>
    <w:rsid w:val="0009420C"/>
    <w:rsid w:val="000D5125"/>
    <w:rsid w:val="0044335E"/>
    <w:rsid w:val="006F4F15"/>
    <w:rsid w:val="00A02959"/>
    <w:rsid w:val="00A22193"/>
    <w:rsid w:val="00AB1A10"/>
    <w:rsid w:val="00B54906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FF2A-D2C2-4449-A880-B0C8559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59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A029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2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9"/>
    <w:qFormat/>
    <w:rsid w:val="00A02959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A02959"/>
    <w:rPr>
      <w:rFonts w:ascii="Verdana" w:eastAsia="Calibri" w:hAnsi="Verdana" w:cs="Times New Roman"/>
      <w:color w:val="595959"/>
      <w:kern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Fociños Gonzalez, Margarita</cp:lastModifiedBy>
  <cp:revision>3</cp:revision>
  <dcterms:created xsi:type="dcterms:W3CDTF">2023-07-05T07:32:00Z</dcterms:created>
  <dcterms:modified xsi:type="dcterms:W3CDTF">2023-07-05T07:36:00Z</dcterms:modified>
</cp:coreProperties>
</file>