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37C" w:rsidRDefault="007D5648">
      <w:pPr>
        <w:pBdr>
          <w:top w:val="nil"/>
          <w:left w:val="nil"/>
          <w:bottom w:val="nil"/>
          <w:right w:val="nil"/>
          <w:between w:val="nil"/>
        </w:pBdr>
        <w:spacing w:line="276" w:lineRule="auto"/>
        <w:rPr>
          <w:rFonts w:ascii="Arial" w:eastAsia="Arial" w:hAnsi="Arial" w:cs="Arial"/>
          <w:color w:val="000000"/>
        </w:rPr>
      </w:pPr>
      <w:r>
        <w:rPr>
          <w:noProof/>
          <w:lang w:bidi="ar-SA"/>
        </w:rPr>
        <w:drawing>
          <wp:anchor distT="114300" distB="114300" distL="114300" distR="114300" simplePos="0" relativeHeight="251658240" behindDoc="0" locked="0" layoutInCell="1" hidden="0" allowOverlap="1">
            <wp:simplePos x="0" y="0"/>
            <wp:positionH relativeFrom="column">
              <wp:posOffset>3371850</wp:posOffset>
            </wp:positionH>
            <wp:positionV relativeFrom="paragraph">
              <wp:posOffset>171450</wp:posOffset>
            </wp:positionV>
            <wp:extent cx="1375583" cy="4476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9000" b="23999"/>
                    <a:stretch>
                      <a:fillRect/>
                    </a:stretch>
                  </pic:blipFill>
                  <pic:spPr>
                    <a:xfrm>
                      <a:off x="0" y="0"/>
                      <a:ext cx="1375583" cy="447675"/>
                    </a:xfrm>
                    <a:prstGeom prst="rect">
                      <a:avLst/>
                    </a:prstGeom>
                    <a:ln/>
                  </pic:spPr>
                </pic:pic>
              </a:graphicData>
            </a:graphic>
          </wp:anchor>
        </w:drawing>
      </w:r>
    </w:p>
    <w:tbl>
      <w:tblPr>
        <w:tblStyle w:val="a2"/>
        <w:tblW w:w="9481" w:type="dxa"/>
        <w:jc w:val="center"/>
        <w:tblInd w:w="0" w:type="dxa"/>
        <w:tblLayout w:type="fixed"/>
        <w:tblLook w:val="0400" w:firstRow="0" w:lastRow="0" w:firstColumn="0" w:lastColumn="0" w:noHBand="0" w:noVBand="1"/>
      </w:tblPr>
      <w:tblGrid>
        <w:gridCol w:w="9481"/>
      </w:tblGrid>
      <w:tr w:rsidR="0027137C">
        <w:trPr>
          <w:trHeight w:val="799"/>
          <w:jc w:val="center"/>
        </w:trPr>
        <w:tc>
          <w:tcPr>
            <w:tcW w:w="9481" w:type="dxa"/>
            <w:tcMar>
              <w:top w:w="0" w:type="dxa"/>
              <w:left w:w="108" w:type="dxa"/>
              <w:bottom w:w="0" w:type="dxa"/>
              <w:right w:w="108" w:type="dxa"/>
            </w:tcMar>
          </w:tcPr>
          <w:p w:rsidR="0027137C" w:rsidRDefault="007D5648">
            <w:pPr>
              <w:jc w:val="center"/>
            </w:pPr>
            <w:r>
              <w:rPr>
                <w:noProof/>
                <w:lang w:bidi="ar-SA"/>
              </w:rPr>
              <w:drawing>
                <wp:anchor distT="0" distB="0" distL="0" distR="0" simplePos="0" relativeHeight="251659264" behindDoc="0" locked="0" layoutInCell="1" hidden="0" allowOverlap="1">
                  <wp:simplePos x="0" y="0"/>
                  <wp:positionH relativeFrom="column">
                    <wp:posOffset>1171575</wp:posOffset>
                  </wp:positionH>
                  <wp:positionV relativeFrom="paragraph">
                    <wp:posOffset>34337</wp:posOffset>
                  </wp:positionV>
                  <wp:extent cx="1707797" cy="447675"/>
                  <wp:effectExtent l="0" t="0" r="0" b="0"/>
                  <wp:wrapTopAndBottom distT="0" distB="0"/>
                  <wp:docPr id="6" name="image1.png" descr="cid:image001.png@01D20820.8DF2F010"/>
                  <wp:cNvGraphicFramePr/>
                  <a:graphic xmlns:a="http://schemas.openxmlformats.org/drawingml/2006/main">
                    <a:graphicData uri="http://schemas.openxmlformats.org/drawingml/2006/picture">
                      <pic:pic xmlns:pic="http://schemas.openxmlformats.org/drawingml/2006/picture">
                        <pic:nvPicPr>
                          <pic:cNvPr id="0" name="image1.png" descr="cid:image001.png@01D20820.8DF2F010"/>
                          <pic:cNvPicPr preferRelativeResize="0"/>
                        </pic:nvPicPr>
                        <pic:blipFill>
                          <a:blip r:embed="rId9"/>
                          <a:srcRect/>
                          <a:stretch>
                            <a:fillRect/>
                          </a:stretch>
                        </pic:blipFill>
                        <pic:spPr>
                          <a:xfrm>
                            <a:off x="0" y="0"/>
                            <a:ext cx="1707797" cy="447675"/>
                          </a:xfrm>
                          <a:prstGeom prst="rect">
                            <a:avLst/>
                          </a:prstGeom>
                          <a:ln/>
                        </pic:spPr>
                      </pic:pic>
                    </a:graphicData>
                  </a:graphic>
                </wp:anchor>
              </w:drawing>
            </w:r>
          </w:p>
        </w:tc>
      </w:tr>
      <w:tr w:rsidR="0027137C">
        <w:trPr>
          <w:trHeight w:val="126"/>
          <w:jc w:val="center"/>
        </w:trPr>
        <w:tc>
          <w:tcPr>
            <w:tcW w:w="9481" w:type="dxa"/>
            <w:tcBorders>
              <w:top w:val="nil"/>
              <w:left w:val="nil"/>
              <w:bottom w:val="single" w:sz="8" w:space="0" w:color="D9D9D9"/>
              <w:right w:val="nil"/>
            </w:tcBorders>
            <w:shd w:val="clear" w:color="auto" w:fill="F2F2F2"/>
            <w:tcMar>
              <w:top w:w="0" w:type="dxa"/>
              <w:left w:w="108" w:type="dxa"/>
              <w:bottom w:w="0" w:type="dxa"/>
              <w:right w:w="108" w:type="dxa"/>
            </w:tcMar>
          </w:tcPr>
          <w:p w:rsidR="0027137C" w:rsidRDefault="0027137C">
            <w:pPr>
              <w:jc w:val="center"/>
              <w:rPr>
                <w:b/>
                <w:color w:val="000000"/>
                <w:sz w:val="36"/>
                <w:szCs w:val="36"/>
              </w:rPr>
            </w:pPr>
          </w:p>
          <w:p w:rsidR="0027137C" w:rsidRPr="007D5648" w:rsidRDefault="007D5648">
            <w:pPr>
              <w:jc w:val="center"/>
              <w:rPr>
                <w:b/>
                <w:color w:val="000000"/>
                <w:sz w:val="28"/>
                <w:szCs w:val="28"/>
              </w:rPr>
            </w:pPr>
            <w:r w:rsidRPr="007D5648">
              <w:rPr>
                <w:b/>
                <w:color w:val="000000"/>
                <w:sz w:val="28"/>
                <w:szCs w:val="28"/>
              </w:rPr>
              <w:t>NOTA DE PRENSA</w:t>
            </w:r>
          </w:p>
          <w:p w:rsidR="0027137C" w:rsidRDefault="0027137C">
            <w:pPr>
              <w:jc w:val="center"/>
              <w:rPr>
                <w:b/>
                <w:color w:val="000000"/>
                <w:sz w:val="36"/>
                <w:szCs w:val="36"/>
              </w:rPr>
            </w:pPr>
          </w:p>
          <w:p w:rsidR="0027137C" w:rsidRDefault="007D5648">
            <w:pPr>
              <w:jc w:val="center"/>
              <w:rPr>
                <w:b/>
                <w:sz w:val="28"/>
                <w:szCs w:val="28"/>
              </w:rPr>
            </w:pPr>
            <w:r>
              <w:rPr>
                <w:b/>
                <w:sz w:val="28"/>
                <w:szCs w:val="28"/>
              </w:rPr>
              <w:t>X EDICION PREMIOS ESCOLÁSTICO ZALDÍVAR  FRATERNIDAD-MUPRESPA</w:t>
            </w:r>
          </w:p>
          <w:p w:rsidR="0027137C" w:rsidRDefault="0027137C">
            <w:pPr>
              <w:jc w:val="center"/>
              <w:rPr>
                <w:b/>
                <w:color w:val="1F497D"/>
                <w:sz w:val="36"/>
                <w:szCs w:val="36"/>
              </w:rPr>
            </w:pPr>
          </w:p>
        </w:tc>
      </w:tr>
      <w:tr w:rsidR="0027137C">
        <w:trPr>
          <w:trHeight w:val="126"/>
          <w:jc w:val="center"/>
        </w:trPr>
        <w:tc>
          <w:tcPr>
            <w:tcW w:w="9481" w:type="dxa"/>
            <w:tcMar>
              <w:top w:w="0" w:type="dxa"/>
              <w:left w:w="108" w:type="dxa"/>
              <w:bottom w:w="0" w:type="dxa"/>
              <w:right w:w="108" w:type="dxa"/>
            </w:tcMar>
          </w:tcPr>
          <w:p w:rsidR="0027137C" w:rsidRDefault="007D5648">
            <w:pPr>
              <w:pBdr>
                <w:top w:val="nil"/>
                <w:left w:val="nil"/>
                <w:bottom w:val="nil"/>
                <w:right w:val="nil"/>
                <w:between w:val="nil"/>
              </w:pBdr>
              <w:spacing w:before="232" w:line="276" w:lineRule="auto"/>
              <w:ind w:left="1047" w:right="1049" w:hanging="2"/>
              <w:jc w:val="center"/>
              <w:rPr>
                <w:b/>
                <w:color w:val="00B050"/>
                <w:sz w:val="28"/>
                <w:szCs w:val="28"/>
              </w:rPr>
            </w:pPr>
            <w:proofErr w:type="spellStart"/>
            <w:r>
              <w:rPr>
                <w:b/>
                <w:color w:val="00AF50"/>
                <w:sz w:val="28"/>
                <w:szCs w:val="28"/>
              </w:rPr>
              <w:t>Omexom</w:t>
            </w:r>
            <w:proofErr w:type="spellEnd"/>
            <w:r>
              <w:rPr>
                <w:b/>
                <w:color w:val="00AF50"/>
                <w:sz w:val="28"/>
                <w:szCs w:val="28"/>
              </w:rPr>
              <w:t xml:space="preserve"> </w:t>
            </w:r>
            <w:proofErr w:type="spellStart"/>
            <w:r>
              <w:rPr>
                <w:b/>
                <w:color w:val="00AF50"/>
                <w:sz w:val="28"/>
                <w:szCs w:val="28"/>
              </w:rPr>
              <w:t>Spain</w:t>
            </w:r>
            <w:proofErr w:type="spellEnd"/>
            <w:r>
              <w:rPr>
                <w:b/>
                <w:color w:val="00AF50"/>
                <w:sz w:val="28"/>
                <w:szCs w:val="28"/>
              </w:rPr>
              <w:t>, mención de honor en la categoría “Sentimos la prevención”</w:t>
            </w:r>
          </w:p>
        </w:tc>
      </w:tr>
      <w:tr w:rsidR="0027137C">
        <w:trPr>
          <w:trHeight w:val="126"/>
          <w:jc w:val="center"/>
        </w:trPr>
        <w:tc>
          <w:tcPr>
            <w:tcW w:w="9481" w:type="dxa"/>
            <w:tcBorders>
              <w:top w:val="nil"/>
              <w:left w:val="nil"/>
              <w:bottom w:val="single" w:sz="8" w:space="0" w:color="D9D9D9"/>
              <w:right w:val="nil"/>
            </w:tcBorders>
            <w:tcMar>
              <w:top w:w="0" w:type="dxa"/>
              <w:left w:w="108" w:type="dxa"/>
              <w:bottom w:w="0" w:type="dxa"/>
              <w:right w:w="108" w:type="dxa"/>
            </w:tcMar>
          </w:tcPr>
          <w:p w:rsidR="0027137C" w:rsidRDefault="0027137C">
            <w:pPr>
              <w:rPr>
                <w:b/>
                <w:color w:val="00B050"/>
                <w:sz w:val="28"/>
                <w:szCs w:val="28"/>
              </w:rPr>
            </w:pPr>
          </w:p>
        </w:tc>
      </w:tr>
      <w:tr w:rsidR="0027137C">
        <w:trPr>
          <w:trHeight w:val="8970"/>
          <w:jc w:val="center"/>
        </w:trPr>
        <w:tc>
          <w:tcPr>
            <w:tcW w:w="9481" w:type="dxa"/>
            <w:tcMar>
              <w:top w:w="0" w:type="dxa"/>
              <w:left w:w="108" w:type="dxa"/>
              <w:bottom w:w="0" w:type="dxa"/>
              <w:right w:w="108" w:type="dxa"/>
            </w:tcMar>
          </w:tcPr>
          <w:p w:rsidR="0027137C" w:rsidRDefault="007D5648">
            <w:pPr>
              <w:jc w:val="both"/>
            </w:pPr>
            <w:r>
              <w:rPr>
                <w:b/>
                <w:color w:val="FF7F50"/>
              </w:rPr>
              <w:t>14 de mayo de 2024</w:t>
            </w:r>
            <w:r>
              <w:t xml:space="preserve"> </w:t>
            </w:r>
          </w:p>
          <w:p w:rsidR="0027137C" w:rsidRDefault="0027137C">
            <w:pPr>
              <w:jc w:val="both"/>
            </w:pPr>
          </w:p>
          <w:p w:rsidR="0027137C" w:rsidRDefault="007D5648">
            <w:pPr>
              <w:widowControl/>
              <w:numPr>
                <w:ilvl w:val="0"/>
                <w:numId w:val="2"/>
              </w:numPr>
              <w:pBdr>
                <w:top w:val="nil"/>
                <w:left w:val="nil"/>
                <w:bottom w:val="nil"/>
                <w:right w:val="nil"/>
                <w:between w:val="nil"/>
              </w:pBdr>
              <w:shd w:val="clear" w:color="auto" w:fill="FFFFFF"/>
              <w:spacing w:after="150"/>
              <w:jc w:val="both"/>
            </w:pPr>
            <w:r>
              <w:rPr>
                <w:b/>
                <w:color w:val="202124"/>
              </w:rPr>
              <w:t xml:space="preserve">Recogió la distinción Pedro Carrillo, responsable de Prevención de Riesgos Laborales en </w:t>
            </w:r>
            <w:proofErr w:type="spellStart"/>
            <w:r>
              <w:rPr>
                <w:b/>
                <w:color w:val="202124"/>
              </w:rPr>
              <w:t>Omexom</w:t>
            </w:r>
            <w:proofErr w:type="spellEnd"/>
            <w:r>
              <w:rPr>
                <w:b/>
                <w:color w:val="202124"/>
              </w:rPr>
              <w:t xml:space="preserve"> </w:t>
            </w:r>
            <w:proofErr w:type="spellStart"/>
            <w:r>
              <w:rPr>
                <w:b/>
                <w:color w:val="202124"/>
              </w:rPr>
              <w:t>Spain</w:t>
            </w:r>
            <w:proofErr w:type="spellEnd"/>
          </w:p>
          <w:p w:rsidR="0027137C" w:rsidRDefault="007D5648">
            <w:pPr>
              <w:widowControl/>
              <w:numPr>
                <w:ilvl w:val="0"/>
                <w:numId w:val="2"/>
              </w:numPr>
              <w:pBdr>
                <w:top w:val="nil"/>
                <w:left w:val="nil"/>
                <w:bottom w:val="nil"/>
                <w:right w:val="nil"/>
                <w:between w:val="nil"/>
              </w:pBdr>
              <w:shd w:val="clear" w:color="auto" w:fill="FFFFFF"/>
              <w:spacing w:after="150"/>
              <w:jc w:val="both"/>
              <w:rPr>
                <w:b/>
                <w:color w:val="202124"/>
              </w:rPr>
            </w:pPr>
            <w:r>
              <w:rPr>
                <w:b/>
                <w:color w:val="202124"/>
              </w:rPr>
              <w:t>El jurado ha valorado su proyecto de realidad virtual, que permite simular el trabajo que se desarrolla en una subestación eléctrica y a la vez conciencia de las consecuencias de comportamientos inseguros</w:t>
            </w:r>
          </w:p>
          <w:p w:rsidR="0027137C" w:rsidRDefault="007D5648">
            <w:pPr>
              <w:numPr>
                <w:ilvl w:val="0"/>
                <w:numId w:val="1"/>
              </w:numPr>
              <w:pBdr>
                <w:top w:val="nil"/>
                <w:left w:val="nil"/>
                <w:bottom w:val="nil"/>
                <w:right w:val="nil"/>
                <w:between w:val="nil"/>
              </w:pBdr>
              <w:jc w:val="both"/>
              <w:rPr>
                <w:b/>
                <w:color w:val="000000"/>
              </w:rPr>
            </w:pPr>
            <w:r>
              <w:rPr>
                <w:b/>
                <w:color w:val="000000"/>
              </w:rPr>
              <w:t>El acto de entrega de los premios se enmarca dentro de la Semana de la Prevención de la Mutua, que tiene lugar anualmente en torno al 28 de abril, Día Mundial de la Seguridad y Salud en el Trabajo</w:t>
            </w:r>
          </w:p>
          <w:p w:rsidR="0027137C" w:rsidRDefault="0027137C">
            <w:pPr>
              <w:pBdr>
                <w:top w:val="nil"/>
                <w:left w:val="nil"/>
                <w:bottom w:val="nil"/>
                <w:right w:val="nil"/>
                <w:between w:val="nil"/>
              </w:pBdr>
              <w:ind w:left="720"/>
              <w:jc w:val="both"/>
              <w:rPr>
                <w:color w:val="000000"/>
              </w:rPr>
            </w:pPr>
          </w:p>
          <w:p w:rsidR="0027137C" w:rsidRDefault="007D5648">
            <w:pPr>
              <w:widowControl/>
              <w:pBdr>
                <w:top w:val="nil"/>
                <w:left w:val="nil"/>
                <w:bottom w:val="nil"/>
                <w:right w:val="nil"/>
                <w:between w:val="nil"/>
              </w:pBdr>
              <w:shd w:val="clear" w:color="auto" w:fill="FFFFFF"/>
              <w:spacing w:after="225"/>
              <w:jc w:val="both"/>
              <w:rPr>
                <w:color w:val="202124"/>
              </w:rPr>
            </w:pPr>
            <w:proofErr w:type="spellStart"/>
            <w:r w:rsidRPr="007D5648">
              <w:rPr>
                <w:b/>
                <w:color w:val="202124"/>
              </w:rPr>
              <w:t>Omexom</w:t>
            </w:r>
            <w:proofErr w:type="spellEnd"/>
            <w:r w:rsidRPr="007D5648">
              <w:rPr>
                <w:b/>
                <w:color w:val="202124"/>
              </w:rPr>
              <w:t xml:space="preserve"> </w:t>
            </w:r>
            <w:proofErr w:type="spellStart"/>
            <w:r w:rsidRPr="007D5648">
              <w:rPr>
                <w:b/>
                <w:color w:val="202124"/>
              </w:rPr>
              <w:t>Spain</w:t>
            </w:r>
            <w:proofErr w:type="spellEnd"/>
            <w:r>
              <w:rPr>
                <w:color w:val="202124"/>
              </w:rPr>
              <w:t xml:space="preserve"> ha sido distinguida con una mención de honor en la categoría “Sentimos la prevención” en la X edición de los premios Escolástico Zaldívar que otorga Fraternidad-</w:t>
            </w:r>
            <w:proofErr w:type="spellStart"/>
            <w:r>
              <w:rPr>
                <w:color w:val="202124"/>
              </w:rPr>
              <w:t>Muprespa</w:t>
            </w:r>
            <w:proofErr w:type="spellEnd"/>
            <w:r>
              <w:rPr>
                <w:color w:val="202124"/>
              </w:rPr>
              <w:t xml:space="preserve">, Mutua Colaboradora con la Seguridad Social, para reconocer las mejores prácticas en prevención de riesgos laborales por parte de empresas mutualistas. </w:t>
            </w:r>
          </w:p>
          <w:p w:rsidR="0027137C" w:rsidRDefault="007D5648">
            <w:pPr>
              <w:widowControl/>
              <w:pBdr>
                <w:top w:val="nil"/>
                <w:left w:val="nil"/>
                <w:bottom w:val="nil"/>
                <w:right w:val="nil"/>
                <w:between w:val="nil"/>
              </w:pBdr>
              <w:shd w:val="clear" w:color="auto" w:fill="FFFFFF"/>
              <w:jc w:val="both"/>
              <w:rPr>
                <w:color w:val="202124"/>
              </w:rPr>
            </w:pPr>
            <w:r>
              <w:rPr>
                <w:color w:val="000000"/>
              </w:rPr>
              <w:t>Asociada a Fraternidad-</w:t>
            </w:r>
            <w:proofErr w:type="spellStart"/>
            <w:r>
              <w:rPr>
                <w:color w:val="000000"/>
              </w:rPr>
              <w:t>Muprespa</w:t>
            </w:r>
            <w:proofErr w:type="spellEnd"/>
            <w:r>
              <w:rPr>
                <w:color w:val="000000"/>
              </w:rPr>
              <w:t xml:space="preserve"> desde 2012</w:t>
            </w:r>
            <w:r>
              <w:rPr>
                <w:color w:val="202124"/>
              </w:rPr>
              <w:t xml:space="preserve">, es una compañía del sector de la energía, las instalaciones eléctricas y la ingeniería. </w:t>
            </w:r>
            <w:r>
              <w:rPr>
                <w:b/>
                <w:color w:val="202124"/>
              </w:rPr>
              <w:t>Pedro Carrillo</w:t>
            </w:r>
            <w:r>
              <w:rPr>
                <w:color w:val="202124"/>
              </w:rPr>
              <w:t xml:space="preserve">, responsable del Prevención de Riesgos Laborales en </w:t>
            </w:r>
            <w:proofErr w:type="spellStart"/>
            <w:r>
              <w:rPr>
                <w:color w:val="202124"/>
              </w:rPr>
              <w:t>Omexom</w:t>
            </w:r>
            <w:proofErr w:type="spellEnd"/>
            <w:r>
              <w:rPr>
                <w:color w:val="202124"/>
              </w:rPr>
              <w:t xml:space="preserve"> </w:t>
            </w:r>
            <w:proofErr w:type="spellStart"/>
            <w:r>
              <w:rPr>
                <w:color w:val="202124"/>
              </w:rPr>
              <w:t>Spain</w:t>
            </w:r>
            <w:proofErr w:type="spellEnd"/>
            <w:r>
              <w:rPr>
                <w:color w:val="202124"/>
              </w:rPr>
              <w:t xml:space="preserve">, recibió la distinción de manos de </w:t>
            </w:r>
            <w:r>
              <w:rPr>
                <w:b/>
                <w:color w:val="202124"/>
              </w:rPr>
              <w:t>Carlos</w:t>
            </w:r>
            <w:r>
              <w:rPr>
                <w:color w:val="202124"/>
              </w:rPr>
              <w:t xml:space="preserve"> </w:t>
            </w:r>
            <w:r>
              <w:rPr>
                <w:b/>
                <w:color w:val="202124"/>
              </w:rPr>
              <w:t>Espinosa de los Monteros</w:t>
            </w:r>
            <w:r>
              <w:rPr>
                <w:color w:val="202124"/>
              </w:rPr>
              <w:t>, presidente de Fraternidad-</w:t>
            </w:r>
            <w:proofErr w:type="spellStart"/>
            <w:r>
              <w:rPr>
                <w:color w:val="202124"/>
              </w:rPr>
              <w:t>Muprespa</w:t>
            </w:r>
            <w:proofErr w:type="spellEnd"/>
            <w:r>
              <w:rPr>
                <w:color w:val="202124"/>
              </w:rPr>
              <w:t>, en un acto de entrega que tuvo lugar en el Hospital Fraternidad-</w:t>
            </w:r>
            <w:proofErr w:type="spellStart"/>
            <w:r>
              <w:rPr>
                <w:color w:val="202124"/>
              </w:rPr>
              <w:t>Muprespa</w:t>
            </w:r>
            <w:proofErr w:type="spellEnd"/>
            <w:r>
              <w:rPr>
                <w:color w:val="202124"/>
              </w:rPr>
              <w:t xml:space="preserve"> Habana el 23 de abril.  </w:t>
            </w:r>
          </w:p>
          <w:p w:rsidR="0027137C" w:rsidRDefault="0027137C">
            <w:pPr>
              <w:widowControl/>
              <w:shd w:val="clear" w:color="auto" w:fill="FFFFFF"/>
              <w:jc w:val="both"/>
              <w:rPr>
                <w:color w:val="202124"/>
                <w:highlight w:val="yellow"/>
              </w:rPr>
            </w:pPr>
          </w:p>
          <w:p w:rsidR="0027137C" w:rsidRDefault="007D5648">
            <w:pPr>
              <w:widowControl/>
              <w:pBdr>
                <w:top w:val="nil"/>
                <w:left w:val="nil"/>
                <w:bottom w:val="nil"/>
                <w:right w:val="nil"/>
                <w:between w:val="nil"/>
              </w:pBdr>
              <w:shd w:val="clear" w:color="auto" w:fill="FFFFFF"/>
              <w:jc w:val="both"/>
              <w:rPr>
                <w:color w:val="202124"/>
              </w:rPr>
            </w:pPr>
            <w:r>
              <w:rPr>
                <w:color w:val="202124"/>
              </w:rPr>
              <w:t xml:space="preserve">“Agradezco a nuestra mutua este reconocimiento en el que valora nuestras prácticas preventivas y traslado la felicitación a todo nuestro equipo de </w:t>
            </w:r>
            <w:proofErr w:type="spellStart"/>
            <w:r>
              <w:rPr>
                <w:color w:val="202124"/>
              </w:rPr>
              <w:t>Omexom</w:t>
            </w:r>
            <w:proofErr w:type="spellEnd"/>
            <w:r>
              <w:rPr>
                <w:color w:val="202124"/>
              </w:rPr>
              <w:t xml:space="preserve"> </w:t>
            </w:r>
            <w:proofErr w:type="spellStart"/>
            <w:r>
              <w:rPr>
                <w:color w:val="202124"/>
              </w:rPr>
              <w:t>Spain</w:t>
            </w:r>
            <w:proofErr w:type="spellEnd"/>
            <w:r>
              <w:rPr>
                <w:color w:val="202124"/>
              </w:rPr>
              <w:t>, desde técnicos de prevención, directores, gerentes y responsables, que con su apoyo podemos hacer que continuamente estemos sumando en el desarrollo de nuestra cultura preventiva para que esta sea máxima y quede bien arraigada”, afirmó Carrillo.</w:t>
            </w:r>
          </w:p>
          <w:p w:rsidR="007D5648" w:rsidRDefault="007D5648">
            <w:pPr>
              <w:widowControl/>
              <w:pBdr>
                <w:top w:val="nil"/>
                <w:left w:val="nil"/>
                <w:bottom w:val="nil"/>
                <w:right w:val="nil"/>
                <w:between w:val="nil"/>
              </w:pBdr>
              <w:shd w:val="clear" w:color="auto" w:fill="FFFFFF"/>
              <w:jc w:val="both"/>
              <w:rPr>
                <w:color w:val="202124"/>
              </w:rPr>
            </w:pPr>
          </w:p>
          <w:p w:rsidR="0027137C" w:rsidRDefault="007D5648">
            <w:pPr>
              <w:jc w:val="both"/>
            </w:pPr>
            <w:r>
              <w:rPr>
                <w:color w:val="202124"/>
              </w:rPr>
              <w:t>La Mutua reconoce con esta distinción su i</w:t>
            </w:r>
            <w:r>
              <w:t>nnovador recurso a la realidad virtual como vehículo para capacitar a las personas trabajadoras, de modo que se simule el trabajo en una subestación eléctrica en un entorno de seguridad pero permitiendo a la vez concienciar de las consecuencias de comportamientos inseguros.</w:t>
            </w:r>
          </w:p>
          <w:p w:rsidR="007D5648" w:rsidRDefault="007D5648">
            <w:pPr>
              <w:jc w:val="both"/>
            </w:pPr>
          </w:p>
          <w:p w:rsidR="0027137C" w:rsidRDefault="007D5648">
            <w:pPr>
              <w:jc w:val="both"/>
            </w:pPr>
            <w:r>
              <w:lastRenderedPageBreak/>
              <w:t xml:space="preserve">La simulación permite al trabajador recrear la planificación previa de los trabajos, comprobando que se dispone de la documentación necesaria y seleccionando los </w:t>
            </w:r>
            <w:proofErr w:type="spellStart"/>
            <w:r>
              <w:t>EPIs</w:t>
            </w:r>
            <w:proofErr w:type="spellEnd"/>
            <w:r>
              <w:t xml:space="preserve"> a utilizar, la preparación de la zona de trabajo, las comunicaciones con el centro de control y la ejecución del trabajo cumpliendo con las cinco reglas de oro. Si en algún momento se comete un fallo en el escenario virtual, el programa lanza un mensaje de alarma para reconocerlo de inmediato y corregirlo.</w:t>
            </w:r>
          </w:p>
          <w:p w:rsidR="0027137C" w:rsidRDefault="007D5648">
            <w:pPr>
              <w:jc w:val="both"/>
              <w:rPr>
                <w:color w:val="202124"/>
              </w:rPr>
            </w:pPr>
            <w:r>
              <w:rPr>
                <w:color w:val="202124"/>
              </w:rPr>
              <w:t xml:space="preserve"> </w:t>
            </w:r>
          </w:p>
          <w:p w:rsidR="0027137C" w:rsidRDefault="007D5648">
            <w:pPr>
              <w:widowControl/>
              <w:pBdr>
                <w:top w:val="nil"/>
                <w:left w:val="nil"/>
                <w:bottom w:val="nil"/>
                <w:right w:val="nil"/>
                <w:between w:val="nil"/>
              </w:pBdr>
              <w:shd w:val="clear" w:color="auto" w:fill="FFFFFF"/>
              <w:spacing w:after="150"/>
              <w:jc w:val="both"/>
            </w:pPr>
            <w:bookmarkStart w:id="0" w:name="_heading=h.gjdgxs" w:colFirst="0" w:colLast="0"/>
            <w:bookmarkEnd w:id="0"/>
            <w:r>
              <w:rPr>
                <w:color w:val="202124"/>
                <w:highlight w:val="white"/>
              </w:rPr>
              <w:t>Fraternidad-</w:t>
            </w:r>
            <w:proofErr w:type="spellStart"/>
            <w:r>
              <w:rPr>
                <w:color w:val="202124"/>
                <w:highlight w:val="white"/>
              </w:rPr>
              <w:t>Muprespa</w:t>
            </w:r>
            <w:proofErr w:type="spellEnd"/>
            <w:r>
              <w:rPr>
                <w:color w:val="202124"/>
                <w:highlight w:val="white"/>
              </w:rPr>
              <w:t xml:space="preserve"> entrega los premios Escolástico Zaldívar, nombre del fundador de la Mutua, desde 2013 con la finalidad de reconocer a empresas asociadas por sus buenas prácticas en materia de prevención de riesgos y salud laborales. El acto de entrega, que tiene lugar en torno al 28 de abril, Día Mundial de la Seguridad y Salud en el Trabajo, se enmarca dentro de la Semana de la Prevención que celebra la Mutua. Este año tiene lugar entre los días 15 y 26 de abril con el lema </w:t>
            </w:r>
            <w:r>
              <w:rPr>
                <w:b/>
                <w:color w:val="202124"/>
                <w:highlight w:val="white"/>
              </w:rPr>
              <w:t>"Trabajo seguro, tu primer objetivo". </w:t>
            </w:r>
          </w:p>
          <w:p w:rsidR="0027137C" w:rsidRDefault="0027137C">
            <w:pPr>
              <w:jc w:val="both"/>
            </w:pPr>
          </w:p>
          <w:p w:rsidR="0027137C" w:rsidRDefault="007D5648">
            <w:pPr>
              <w:jc w:val="center"/>
              <w:rPr>
                <w:rFonts w:ascii="Arial" w:eastAsia="Arial" w:hAnsi="Arial" w:cs="Arial"/>
                <w:color w:val="666666"/>
                <w:highlight w:val="white"/>
              </w:rPr>
            </w:pPr>
            <w:r>
              <w:rPr>
                <w:noProof/>
                <w:lang w:bidi="ar-SA"/>
              </w:rPr>
              <w:drawing>
                <wp:inline distT="114300" distB="114300" distL="114300" distR="114300">
                  <wp:extent cx="5701145" cy="4280471"/>
                  <wp:effectExtent l="0" t="0" r="0" b="635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03422" cy="4282180"/>
                          </a:xfrm>
                          <a:prstGeom prst="rect">
                            <a:avLst/>
                          </a:prstGeom>
                          <a:ln/>
                        </pic:spPr>
                      </pic:pic>
                    </a:graphicData>
                  </a:graphic>
                </wp:inline>
              </w:drawing>
            </w:r>
          </w:p>
          <w:p w:rsidR="0027137C" w:rsidRDefault="007D5648">
            <w:pPr>
              <w:jc w:val="center"/>
              <w:rPr>
                <w:sz w:val="18"/>
                <w:szCs w:val="18"/>
              </w:rPr>
            </w:pPr>
            <w:r>
              <w:rPr>
                <w:sz w:val="18"/>
                <w:szCs w:val="18"/>
              </w:rPr>
              <w:t xml:space="preserve">Pedro Carrillo, responsable de Prevención de Riesgos Laborales en </w:t>
            </w:r>
            <w:proofErr w:type="spellStart"/>
            <w:r>
              <w:rPr>
                <w:sz w:val="18"/>
                <w:szCs w:val="18"/>
              </w:rPr>
              <w:t>Omexom</w:t>
            </w:r>
            <w:proofErr w:type="spellEnd"/>
            <w:r>
              <w:rPr>
                <w:sz w:val="18"/>
                <w:szCs w:val="18"/>
              </w:rPr>
              <w:t xml:space="preserve"> </w:t>
            </w:r>
            <w:proofErr w:type="spellStart"/>
            <w:r>
              <w:rPr>
                <w:sz w:val="18"/>
                <w:szCs w:val="18"/>
              </w:rPr>
              <w:t>Spain</w:t>
            </w:r>
            <w:proofErr w:type="spellEnd"/>
            <w:r>
              <w:rPr>
                <w:sz w:val="18"/>
                <w:szCs w:val="18"/>
              </w:rPr>
              <w:t>, recibió la distinción de manos de Carlos Espinosa de los Monteros, presidente de Fraternidad-</w:t>
            </w:r>
            <w:proofErr w:type="spellStart"/>
            <w:r>
              <w:rPr>
                <w:sz w:val="18"/>
                <w:szCs w:val="18"/>
              </w:rPr>
              <w:t>Muprespa</w:t>
            </w:r>
            <w:proofErr w:type="spellEnd"/>
          </w:p>
          <w:p w:rsidR="007D5648" w:rsidRDefault="007D5648">
            <w:pPr>
              <w:jc w:val="center"/>
              <w:rPr>
                <w:sz w:val="18"/>
                <w:szCs w:val="18"/>
              </w:rPr>
            </w:pPr>
          </w:p>
          <w:p w:rsidR="007D5648" w:rsidRDefault="007D5648">
            <w:pPr>
              <w:jc w:val="center"/>
              <w:rPr>
                <w:sz w:val="18"/>
                <w:szCs w:val="18"/>
              </w:rPr>
            </w:pPr>
          </w:p>
          <w:p w:rsidR="0027137C" w:rsidRDefault="0027137C">
            <w:pPr>
              <w:jc w:val="center"/>
              <w:rPr>
                <w:sz w:val="18"/>
                <w:szCs w:val="18"/>
              </w:rPr>
            </w:pPr>
          </w:p>
          <w:tbl>
            <w:tblPr>
              <w:tblStyle w:val="a3"/>
              <w:tblW w:w="9078" w:type="dxa"/>
              <w:jc w:val="center"/>
              <w:tblInd w:w="0" w:type="dxa"/>
              <w:tblLayout w:type="fixed"/>
              <w:tblLook w:val="0400" w:firstRow="0" w:lastRow="0" w:firstColumn="0" w:lastColumn="0" w:noHBand="0" w:noVBand="1"/>
            </w:tblPr>
            <w:tblGrid>
              <w:gridCol w:w="9078"/>
            </w:tblGrid>
            <w:tr w:rsidR="0027137C">
              <w:trPr>
                <w:trHeight w:val="478"/>
                <w:jc w:val="center"/>
              </w:trPr>
              <w:tc>
                <w:tcPr>
                  <w:tcW w:w="9078" w:type="dxa"/>
                  <w:shd w:val="clear" w:color="auto" w:fill="F2F2F2"/>
                  <w:tcMar>
                    <w:top w:w="0" w:type="dxa"/>
                    <w:left w:w="108" w:type="dxa"/>
                    <w:bottom w:w="0" w:type="dxa"/>
                    <w:right w:w="108" w:type="dxa"/>
                  </w:tcMar>
                </w:tcPr>
                <w:p w:rsidR="0027137C" w:rsidRDefault="0027137C"/>
                <w:tbl>
                  <w:tblPr>
                    <w:tblStyle w:val="a4"/>
                    <w:tblW w:w="8862" w:type="dxa"/>
                    <w:jc w:val="center"/>
                    <w:tblInd w:w="0" w:type="dxa"/>
                    <w:tblLayout w:type="fixed"/>
                    <w:tblLook w:val="0400" w:firstRow="0" w:lastRow="0" w:firstColumn="0" w:lastColumn="0" w:noHBand="0" w:noVBand="1"/>
                  </w:tblPr>
                  <w:tblGrid>
                    <w:gridCol w:w="8862"/>
                  </w:tblGrid>
                  <w:tr w:rsidR="0027137C">
                    <w:trPr>
                      <w:trHeight w:val="498"/>
                      <w:jc w:val="center"/>
                    </w:trPr>
                    <w:tc>
                      <w:tcPr>
                        <w:tcW w:w="8862" w:type="dxa"/>
                        <w:shd w:val="clear" w:color="auto" w:fill="F2F2F2"/>
                        <w:tcMar>
                          <w:top w:w="0" w:type="dxa"/>
                          <w:left w:w="108" w:type="dxa"/>
                          <w:bottom w:w="0" w:type="dxa"/>
                          <w:right w:w="108" w:type="dxa"/>
                        </w:tcMar>
                        <w:vAlign w:val="center"/>
                      </w:tcPr>
                      <w:p w:rsidR="0027137C" w:rsidRDefault="007D5648">
                        <w:pPr>
                          <w:jc w:val="center"/>
                          <w:rPr>
                            <w:b/>
                            <w:sz w:val="28"/>
                            <w:szCs w:val="28"/>
                          </w:rPr>
                        </w:pPr>
                        <w:r>
                          <w:rPr>
                            <w:b/>
                            <w:sz w:val="28"/>
                            <w:szCs w:val="28"/>
                          </w:rPr>
                          <w:t>Sobre Fraternidad-</w:t>
                        </w:r>
                        <w:proofErr w:type="spellStart"/>
                        <w:r>
                          <w:rPr>
                            <w:b/>
                            <w:sz w:val="28"/>
                            <w:szCs w:val="28"/>
                          </w:rPr>
                          <w:t>Muprespa</w:t>
                        </w:r>
                        <w:proofErr w:type="spellEnd"/>
                        <w:r>
                          <w:rPr>
                            <w:b/>
                            <w:sz w:val="28"/>
                            <w:szCs w:val="28"/>
                          </w:rPr>
                          <w:t xml:space="preserve">: </w:t>
                        </w:r>
                      </w:p>
                      <w:p w:rsidR="0027137C" w:rsidRDefault="007D5648">
                        <w:pPr>
                          <w:widowControl/>
                          <w:pBdr>
                            <w:top w:val="nil"/>
                            <w:left w:val="nil"/>
                            <w:bottom w:val="nil"/>
                            <w:right w:val="nil"/>
                            <w:between w:val="nil"/>
                          </w:pBdr>
                          <w:jc w:val="both"/>
                          <w:rPr>
                            <w:rFonts w:ascii="Calibri" w:eastAsia="Calibri" w:hAnsi="Calibri" w:cs="Calibri"/>
                            <w:color w:val="595959"/>
                            <w:sz w:val="18"/>
                            <w:szCs w:val="18"/>
                          </w:rPr>
                        </w:pPr>
                        <w:r>
                          <w:rPr>
                            <w:rFonts w:ascii="Calibri" w:eastAsia="Calibri" w:hAnsi="Calibri" w:cs="Calibri"/>
                            <w:color w:val="000000"/>
                            <w:sz w:val="18"/>
                            <w:szCs w:val="18"/>
                          </w:rPr>
                          <w:t>Mutua Colaboradora con la Seguridad Social nº 275, tiene por actividad el tratamiento integral de los accidentes de trabajo y enfermedades profesionales, en su vertiente económica, sanitaria, recuperadora y preventiva. Tiene asociadas 118.122 empresas y 1.497.610</w:t>
                        </w:r>
                        <w:r>
                          <w:rPr>
                            <w:b/>
                            <w:color w:val="000000"/>
                            <w:sz w:val="18"/>
                            <w:szCs w:val="18"/>
                          </w:rPr>
                          <w:t xml:space="preserve"> </w:t>
                        </w:r>
                        <w:r>
                          <w:rPr>
                            <w:rFonts w:ascii="Calibri" w:eastAsia="Calibri" w:hAnsi="Calibri" w:cs="Calibri"/>
                            <w:color w:val="000000"/>
                            <w:sz w:val="18"/>
                            <w:szCs w:val="18"/>
                          </w:rPr>
                          <w:t>trabajadores, velando por ellos, una plantilla de 2.115 empleados y 116 centros asistenciales y administrativos en toda España.</w:t>
                        </w:r>
                        <w:r>
                          <w:rPr>
                            <w:rFonts w:ascii="Calibri" w:eastAsia="Calibri" w:hAnsi="Calibri" w:cs="Calibri"/>
                            <w:color w:val="595959"/>
                            <w:sz w:val="18"/>
                            <w:szCs w:val="18"/>
                          </w:rPr>
                          <w:t xml:space="preserve"> </w:t>
                        </w:r>
                      </w:p>
                      <w:p w:rsidR="0027137C" w:rsidRDefault="007D5648">
                        <w:pPr>
                          <w:rPr>
                            <w:sz w:val="8"/>
                            <w:szCs w:val="8"/>
                          </w:rPr>
                        </w:pPr>
                        <w:r>
                          <w:rPr>
                            <w:sz w:val="8"/>
                            <w:szCs w:val="8"/>
                          </w:rPr>
                          <w:t xml:space="preserve">   </w:t>
                        </w:r>
                      </w:p>
                      <w:p w:rsidR="0027137C" w:rsidRDefault="001E6BB5">
                        <w:pPr>
                          <w:widowControl/>
                          <w:pBdr>
                            <w:top w:val="nil"/>
                            <w:left w:val="nil"/>
                            <w:bottom w:val="nil"/>
                            <w:right w:val="nil"/>
                            <w:between w:val="nil"/>
                          </w:pBdr>
                          <w:jc w:val="center"/>
                          <w:rPr>
                            <w:color w:val="595959"/>
                            <w:sz w:val="18"/>
                            <w:szCs w:val="18"/>
                          </w:rPr>
                        </w:pPr>
                        <w:hyperlink r:id="rId11">
                          <w:r w:rsidR="007D5648">
                            <w:rPr>
                              <w:color w:val="0000FF"/>
                              <w:sz w:val="18"/>
                              <w:szCs w:val="18"/>
                              <w:u w:val="single"/>
                            </w:rPr>
                            <w:t>fraternidad.com</w:t>
                          </w:r>
                        </w:hyperlink>
                      </w:p>
                    </w:tc>
                  </w:tr>
                  <w:tr w:rsidR="0027137C">
                    <w:trPr>
                      <w:trHeight w:val="240"/>
                      <w:jc w:val="center"/>
                    </w:trPr>
                    <w:tc>
                      <w:tcPr>
                        <w:tcW w:w="8862" w:type="dxa"/>
                        <w:shd w:val="clear" w:color="auto" w:fill="F2F2F2"/>
                        <w:tcMar>
                          <w:top w:w="0" w:type="dxa"/>
                          <w:left w:w="108" w:type="dxa"/>
                          <w:bottom w:w="0" w:type="dxa"/>
                          <w:right w:w="108" w:type="dxa"/>
                        </w:tcMar>
                      </w:tcPr>
                      <w:p w:rsidR="0027137C" w:rsidRDefault="007D5648">
                        <w:pPr>
                          <w:jc w:val="center"/>
                          <w:rPr>
                            <w:b/>
                            <w:sz w:val="18"/>
                            <w:szCs w:val="18"/>
                          </w:rPr>
                        </w:pPr>
                        <w:r>
                          <w:rPr>
                            <w:b/>
                            <w:sz w:val="18"/>
                            <w:szCs w:val="18"/>
                          </w:rPr>
                          <w:t>GABINETE DE PRENSA</w:t>
                        </w:r>
                      </w:p>
                      <w:p w:rsidR="0027137C" w:rsidRDefault="001E6BB5">
                        <w:pPr>
                          <w:jc w:val="center"/>
                          <w:rPr>
                            <w:b/>
                            <w:sz w:val="18"/>
                            <w:szCs w:val="18"/>
                          </w:rPr>
                        </w:pPr>
                        <w:hyperlink r:id="rId12">
                          <w:r w:rsidR="007D5648">
                            <w:rPr>
                              <w:b/>
                              <w:sz w:val="18"/>
                              <w:szCs w:val="18"/>
                            </w:rPr>
                            <w:t>gabineteprensa@fraternidad.com</w:t>
                          </w:r>
                        </w:hyperlink>
                      </w:p>
                      <w:p w:rsidR="0027137C" w:rsidRDefault="007D5648">
                        <w:pPr>
                          <w:jc w:val="center"/>
                          <w:rPr>
                            <w:b/>
                            <w:sz w:val="18"/>
                            <w:szCs w:val="18"/>
                          </w:rPr>
                        </w:pPr>
                        <w:r>
                          <w:rPr>
                            <w:b/>
                            <w:sz w:val="18"/>
                            <w:szCs w:val="18"/>
                          </w:rPr>
                          <w:t>C/ Cervantes, 44, 1º Izquierda. 28014, Madrid</w:t>
                        </w:r>
                      </w:p>
                      <w:p w:rsidR="0027137C" w:rsidRDefault="0027137C">
                        <w:pPr>
                          <w:jc w:val="center"/>
                          <w:rPr>
                            <w:b/>
                            <w:i/>
                            <w:sz w:val="18"/>
                            <w:szCs w:val="18"/>
                          </w:rPr>
                        </w:pPr>
                      </w:p>
                    </w:tc>
                  </w:tr>
                </w:tbl>
                <w:p w:rsidR="0027137C" w:rsidRDefault="0027137C">
                  <w:pPr>
                    <w:jc w:val="both"/>
                  </w:pPr>
                </w:p>
              </w:tc>
            </w:tr>
          </w:tbl>
          <w:p w:rsidR="0027137C" w:rsidRDefault="0027137C">
            <w:pPr>
              <w:jc w:val="both"/>
            </w:pPr>
          </w:p>
        </w:tc>
      </w:tr>
      <w:tr w:rsidR="0027137C">
        <w:trPr>
          <w:trHeight w:val="8970"/>
          <w:jc w:val="center"/>
        </w:trPr>
        <w:tc>
          <w:tcPr>
            <w:tcW w:w="9481" w:type="dxa"/>
            <w:tcMar>
              <w:top w:w="0" w:type="dxa"/>
              <w:left w:w="108" w:type="dxa"/>
              <w:bottom w:w="0" w:type="dxa"/>
              <w:right w:w="108" w:type="dxa"/>
            </w:tcMar>
          </w:tcPr>
          <w:p w:rsidR="0027137C" w:rsidRDefault="007D5648">
            <w:pPr>
              <w:widowControl/>
              <w:pBdr>
                <w:top w:val="nil"/>
                <w:left w:val="nil"/>
                <w:bottom w:val="nil"/>
                <w:right w:val="nil"/>
                <w:between w:val="nil"/>
              </w:pBdr>
              <w:shd w:val="clear" w:color="auto" w:fill="FFFFFF"/>
              <w:spacing w:after="150"/>
              <w:jc w:val="both"/>
              <w:rPr>
                <w:b/>
                <w:color w:val="202124"/>
                <w:sz w:val="16"/>
                <w:szCs w:val="16"/>
                <w:highlight w:val="white"/>
              </w:rPr>
            </w:pPr>
            <w:bookmarkStart w:id="1" w:name="_heading=h.dz4i8cwc8gly" w:colFirst="0" w:colLast="0"/>
            <w:bookmarkEnd w:id="1"/>
            <w:r>
              <w:rPr>
                <w:b/>
                <w:color w:val="202124"/>
                <w:sz w:val="16"/>
                <w:szCs w:val="16"/>
                <w:highlight w:val="white"/>
              </w:rPr>
              <w:lastRenderedPageBreak/>
              <w:t xml:space="preserve">Sobre </w:t>
            </w:r>
            <w:proofErr w:type="spellStart"/>
            <w:r>
              <w:rPr>
                <w:b/>
                <w:color w:val="202124"/>
                <w:sz w:val="16"/>
                <w:szCs w:val="16"/>
                <w:highlight w:val="white"/>
              </w:rPr>
              <w:t>Omexom</w:t>
            </w:r>
            <w:proofErr w:type="spellEnd"/>
          </w:p>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bookmarkStart w:id="2" w:name="_heading=h.jd2q0kklz8nq" w:colFirst="0" w:colLast="0"/>
            <w:bookmarkEnd w:id="2"/>
            <w:r>
              <w:rPr>
                <w:color w:val="202124"/>
                <w:sz w:val="16"/>
                <w:szCs w:val="16"/>
                <w:highlight w:val="white"/>
              </w:rPr>
              <w:t xml:space="preserve">Frente a las continuas transformaciones en el mundo de la energía, </w:t>
            </w:r>
            <w:proofErr w:type="spellStart"/>
            <w:r>
              <w:rPr>
                <w:color w:val="202124"/>
                <w:sz w:val="16"/>
                <w:szCs w:val="16"/>
                <w:highlight w:val="white"/>
              </w:rPr>
              <w:t>Omexom</w:t>
            </w:r>
            <w:proofErr w:type="spellEnd"/>
            <w:r>
              <w:rPr>
                <w:color w:val="202124"/>
                <w:sz w:val="16"/>
                <w:szCs w:val="16"/>
                <w:highlight w:val="white"/>
              </w:rPr>
              <w:t xml:space="preserve"> ayuda a sus clientes a lograr la transición energética.</w:t>
            </w:r>
          </w:p>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bookmarkStart w:id="3" w:name="_heading=h.4f5hrmmeeg5m" w:colFirst="0" w:colLast="0"/>
            <w:bookmarkEnd w:id="3"/>
            <w:proofErr w:type="spellStart"/>
            <w:r>
              <w:rPr>
                <w:color w:val="202124"/>
                <w:sz w:val="16"/>
                <w:szCs w:val="16"/>
                <w:highlight w:val="white"/>
              </w:rPr>
              <w:t>Omexom</w:t>
            </w:r>
            <w:proofErr w:type="spellEnd"/>
            <w:r>
              <w:rPr>
                <w:color w:val="202124"/>
                <w:sz w:val="16"/>
                <w:szCs w:val="16"/>
                <w:highlight w:val="white"/>
              </w:rPr>
              <w:t xml:space="preserve"> se basa en su experiencia en todos los campos de la electricidad y el gas para construir fuentes de energía bajas en carbono y desarrollar la red, promover el uso optimizado de la energía e implementar soluciones innovadoras y colaborativas.</w:t>
            </w:r>
          </w:p>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bookmarkStart w:id="4" w:name="_heading=h.gpy778chg82o" w:colFirst="0" w:colLast="0"/>
            <w:bookmarkEnd w:id="4"/>
            <w:r>
              <w:rPr>
                <w:color w:val="202124"/>
                <w:sz w:val="16"/>
                <w:szCs w:val="16"/>
                <w:highlight w:val="white"/>
              </w:rPr>
              <w:t>Nuestros proyectos están diseñados para productores de energía, operadores de redes de transmisión y distribución, autoridades locales y regionales, así como sus usuarios en todos los territorios.</w:t>
            </w:r>
          </w:p>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bookmarkStart w:id="5" w:name="_heading=h.ne0czff7ke7w" w:colFirst="0" w:colLast="0"/>
            <w:bookmarkEnd w:id="5"/>
            <w:r>
              <w:rPr>
                <w:color w:val="202124"/>
                <w:sz w:val="16"/>
                <w:szCs w:val="16"/>
                <w:highlight w:val="white"/>
              </w:rPr>
              <w:t xml:space="preserve">Como integrador, </w:t>
            </w:r>
            <w:proofErr w:type="spellStart"/>
            <w:r>
              <w:rPr>
                <w:color w:val="202124"/>
                <w:sz w:val="16"/>
                <w:szCs w:val="16"/>
                <w:highlight w:val="white"/>
              </w:rPr>
              <w:t>Omexom</w:t>
            </w:r>
            <w:proofErr w:type="spellEnd"/>
            <w:r>
              <w:rPr>
                <w:color w:val="202124"/>
                <w:sz w:val="16"/>
                <w:szCs w:val="16"/>
                <w:highlight w:val="white"/>
              </w:rPr>
              <w:t xml:space="preserve"> busca continuamente las mejores opciones tecnológicas y despliega las soluciones más adecuadas para las necesidades de sus clientes con total autonomía de sus proveedores.</w:t>
            </w:r>
          </w:p>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bookmarkStart w:id="6" w:name="_heading=h.utjwh5avlajg" w:colFirst="0" w:colLast="0"/>
            <w:bookmarkEnd w:id="6"/>
            <w:r>
              <w:rPr>
                <w:color w:val="202124"/>
                <w:sz w:val="16"/>
                <w:szCs w:val="16"/>
                <w:highlight w:val="white"/>
              </w:rPr>
              <w:t xml:space="preserve">En </w:t>
            </w:r>
            <w:proofErr w:type="spellStart"/>
            <w:r>
              <w:rPr>
                <w:color w:val="202124"/>
                <w:sz w:val="16"/>
                <w:szCs w:val="16"/>
                <w:highlight w:val="white"/>
              </w:rPr>
              <w:t>Omexom</w:t>
            </w:r>
            <w:proofErr w:type="spellEnd"/>
            <w:r>
              <w:rPr>
                <w:color w:val="202124"/>
                <w:sz w:val="16"/>
                <w:szCs w:val="16"/>
                <w:highlight w:val="white"/>
              </w:rPr>
              <w:t xml:space="preserve">, el medio ambiente siempre ha estado en el centro de nuestras preocupaciones, lo que es aún más esencial para los próximos años. </w:t>
            </w:r>
            <w:proofErr w:type="spellStart"/>
            <w:r>
              <w:rPr>
                <w:color w:val="202124"/>
                <w:sz w:val="16"/>
                <w:szCs w:val="16"/>
                <w:highlight w:val="white"/>
              </w:rPr>
              <w:t>Omexom</w:t>
            </w:r>
            <w:proofErr w:type="spellEnd"/>
            <w:r>
              <w:rPr>
                <w:color w:val="202124"/>
                <w:sz w:val="16"/>
                <w:szCs w:val="16"/>
                <w:highlight w:val="white"/>
              </w:rPr>
              <w:t xml:space="preserve"> está actualizando las ofertas mediante el uso de procesos bajos en carbono y materiales reciclados que preservan el medio ambiente y, al mismo tiempo, está lanzando nuevas soluciones bajas en carbono.</w:t>
            </w:r>
          </w:p>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bookmarkStart w:id="7" w:name="_heading=h.36gpf8skxi47" w:colFirst="0" w:colLast="0"/>
            <w:bookmarkEnd w:id="7"/>
            <w:r>
              <w:rPr>
                <w:color w:val="202124"/>
                <w:sz w:val="16"/>
                <w:szCs w:val="16"/>
                <w:highlight w:val="white"/>
              </w:rPr>
              <w:t xml:space="preserve">Actualmente formamos una red internacional con una facturación de €4,9 B, en la que los valores de </w:t>
            </w:r>
            <w:proofErr w:type="spellStart"/>
            <w:r>
              <w:rPr>
                <w:color w:val="202124"/>
                <w:sz w:val="16"/>
                <w:szCs w:val="16"/>
                <w:highlight w:val="white"/>
              </w:rPr>
              <w:t>Omexom</w:t>
            </w:r>
            <w:proofErr w:type="spellEnd"/>
            <w:r>
              <w:rPr>
                <w:color w:val="202124"/>
                <w:sz w:val="16"/>
                <w:szCs w:val="16"/>
                <w:highlight w:val="white"/>
              </w:rPr>
              <w:t xml:space="preserve"> son compartidos por más de 23.500 empleados, en 39 países a través de 450 unidades de negocio.</w:t>
            </w:r>
          </w:p>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bookmarkStart w:id="8" w:name="_heading=h.z253iusoag7x" w:colFirst="0" w:colLast="0"/>
            <w:bookmarkEnd w:id="8"/>
            <w:proofErr w:type="spellStart"/>
            <w:r>
              <w:rPr>
                <w:color w:val="202124"/>
                <w:sz w:val="16"/>
                <w:szCs w:val="16"/>
                <w:highlight w:val="white"/>
              </w:rPr>
              <w:t>Omexom</w:t>
            </w:r>
            <w:proofErr w:type="spellEnd"/>
            <w:r>
              <w:rPr>
                <w:color w:val="202124"/>
                <w:sz w:val="16"/>
                <w:szCs w:val="16"/>
                <w:highlight w:val="white"/>
              </w:rPr>
              <w:t xml:space="preserve"> es la marca de VINCI </w:t>
            </w:r>
            <w:proofErr w:type="spellStart"/>
            <w:r>
              <w:rPr>
                <w:color w:val="202124"/>
                <w:sz w:val="16"/>
                <w:szCs w:val="16"/>
                <w:highlight w:val="white"/>
              </w:rPr>
              <w:t>Energies</w:t>
            </w:r>
            <w:proofErr w:type="spellEnd"/>
            <w:r>
              <w:rPr>
                <w:color w:val="202124"/>
                <w:sz w:val="16"/>
                <w:szCs w:val="16"/>
                <w:highlight w:val="white"/>
              </w:rPr>
              <w:t xml:space="preserve"> enfocada en infraestructuras energéticas.</w:t>
            </w:r>
          </w:p>
          <w:p w:rsidR="001E6BB5" w:rsidRDefault="001E6BB5">
            <w:pPr>
              <w:widowControl/>
              <w:pBdr>
                <w:top w:val="nil"/>
                <w:left w:val="nil"/>
                <w:bottom w:val="nil"/>
                <w:right w:val="nil"/>
                <w:between w:val="nil"/>
              </w:pBdr>
              <w:shd w:val="clear" w:color="auto" w:fill="FFFFFF"/>
              <w:spacing w:after="150"/>
              <w:jc w:val="both"/>
              <w:rPr>
                <w:b/>
                <w:color w:val="202124"/>
                <w:sz w:val="16"/>
                <w:szCs w:val="16"/>
                <w:highlight w:val="white"/>
              </w:rPr>
            </w:pPr>
            <w:bookmarkStart w:id="9" w:name="_heading=h.7on4crxv7qyo" w:colFirst="0" w:colLast="0"/>
            <w:bookmarkStart w:id="10" w:name="_heading=h.2tysk498ajuh" w:colFirst="0" w:colLast="0"/>
            <w:bookmarkEnd w:id="9"/>
            <w:bookmarkEnd w:id="10"/>
          </w:p>
          <w:p w:rsidR="0027137C" w:rsidRDefault="007D5648">
            <w:pPr>
              <w:widowControl/>
              <w:pBdr>
                <w:top w:val="nil"/>
                <w:left w:val="nil"/>
                <w:bottom w:val="nil"/>
                <w:right w:val="nil"/>
                <w:between w:val="nil"/>
              </w:pBdr>
              <w:shd w:val="clear" w:color="auto" w:fill="FFFFFF"/>
              <w:spacing w:after="150"/>
              <w:jc w:val="both"/>
              <w:rPr>
                <w:b/>
                <w:color w:val="202124"/>
                <w:sz w:val="16"/>
                <w:szCs w:val="16"/>
                <w:highlight w:val="white"/>
              </w:rPr>
            </w:pPr>
            <w:bookmarkStart w:id="11" w:name="_GoBack"/>
            <w:bookmarkEnd w:id="11"/>
            <w:r>
              <w:rPr>
                <w:b/>
                <w:color w:val="202124"/>
                <w:sz w:val="16"/>
                <w:szCs w:val="16"/>
                <w:highlight w:val="white"/>
              </w:rPr>
              <w:t xml:space="preserve">Acerca de VINCI </w:t>
            </w:r>
            <w:proofErr w:type="spellStart"/>
            <w:r>
              <w:rPr>
                <w:b/>
                <w:color w:val="202124"/>
                <w:sz w:val="16"/>
                <w:szCs w:val="16"/>
                <w:highlight w:val="white"/>
              </w:rPr>
              <w:t>Energies</w:t>
            </w:r>
            <w:proofErr w:type="spellEnd"/>
            <w:r>
              <w:rPr>
                <w:b/>
                <w:color w:val="202124"/>
                <w:sz w:val="16"/>
                <w:szCs w:val="16"/>
                <w:highlight w:val="white"/>
              </w:rPr>
              <w:t xml:space="preserve">  </w:t>
            </w:r>
          </w:p>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bookmarkStart w:id="12" w:name="_heading=h.7bq9n465cnjv" w:colFirst="0" w:colLast="0"/>
            <w:bookmarkEnd w:id="12"/>
            <w:r>
              <w:rPr>
                <w:color w:val="202124"/>
                <w:sz w:val="16"/>
                <w:szCs w:val="16"/>
                <w:highlight w:val="white"/>
              </w:rPr>
              <w:t xml:space="preserve">En un mundo en constante cambio, VINCI </w:t>
            </w:r>
            <w:proofErr w:type="spellStart"/>
            <w:r>
              <w:rPr>
                <w:color w:val="202124"/>
                <w:sz w:val="16"/>
                <w:szCs w:val="16"/>
                <w:highlight w:val="white"/>
              </w:rPr>
              <w:t>Energies</w:t>
            </w:r>
            <w:proofErr w:type="spellEnd"/>
            <w:r>
              <w:rPr>
                <w:color w:val="202124"/>
                <w:sz w:val="16"/>
                <w:szCs w:val="16"/>
                <w:highlight w:val="white"/>
              </w:rPr>
              <w:t xml:space="preserve"> contribuye a la transición medioambiental ayudando a realizar importantes cambios en el panorama digital y en el sector energético. Los equipos de VINCI </w:t>
            </w:r>
            <w:proofErr w:type="spellStart"/>
            <w:r>
              <w:rPr>
                <w:color w:val="202124"/>
                <w:sz w:val="16"/>
                <w:szCs w:val="16"/>
                <w:highlight w:val="white"/>
              </w:rPr>
              <w:t>Energies</w:t>
            </w:r>
            <w:proofErr w:type="spellEnd"/>
            <w:r>
              <w:rPr>
                <w:color w:val="202124"/>
                <w:sz w:val="16"/>
                <w:szCs w:val="16"/>
                <w:highlight w:val="white"/>
              </w:rPr>
              <w:t xml:space="preserve"> despliegan tecnologías e integran soluciones </w:t>
            </w:r>
            <w:proofErr w:type="spellStart"/>
            <w:r>
              <w:rPr>
                <w:color w:val="202124"/>
                <w:sz w:val="16"/>
                <w:szCs w:val="16"/>
                <w:highlight w:val="white"/>
              </w:rPr>
              <w:t>multitécnicas</w:t>
            </w:r>
            <w:proofErr w:type="spellEnd"/>
            <w:r>
              <w:rPr>
                <w:color w:val="202124"/>
                <w:sz w:val="16"/>
                <w:szCs w:val="16"/>
                <w:highlight w:val="white"/>
              </w:rPr>
              <w:t xml:space="preserve"> personalizadas, desde el diseño hasta la implementación, operación y mantenimiento. Con su fuerte arraigo local y su estructura ágil e innovadora, las 2.000 unidades de negocio de VINCI </w:t>
            </w:r>
            <w:proofErr w:type="spellStart"/>
            <w:r>
              <w:rPr>
                <w:color w:val="202124"/>
                <w:sz w:val="16"/>
                <w:szCs w:val="16"/>
                <w:highlight w:val="white"/>
              </w:rPr>
              <w:t>Energies</w:t>
            </w:r>
            <w:proofErr w:type="spellEnd"/>
            <w:r>
              <w:rPr>
                <w:color w:val="202124"/>
                <w:sz w:val="16"/>
                <w:szCs w:val="16"/>
                <w:highlight w:val="white"/>
              </w:rPr>
              <w:t xml:space="preserve"> se han posicionado en el centro de las decisiones energéticas de sus clientes, impulsando la fiabilidad, la eficiencia y la sostenibilidad de sus infraestructuras y procesos. VINCI </w:t>
            </w:r>
            <w:proofErr w:type="spellStart"/>
            <w:r>
              <w:rPr>
                <w:color w:val="202124"/>
                <w:sz w:val="16"/>
                <w:szCs w:val="16"/>
                <w:highlight w:val="white"/>
              </w:rPr>
              <w:t>Energies</w:t>
            </w:r>
            <w:proofErr w:type="spellEnd"/>
            <w:r>
              <w:rPr>
                <w:color w:val="202124"/>
                <w:sz w:val="16"/>
                <w:szCs w:val="16"/>
                <w:highlight w:val="white"/>
              </w:rPr>
              <w:t xml:space="preserve"> se esfuerza por conseguir un buen desempeño global, cuidando el planeta, siendo útil para las personas y comprometida con las comunidades locales.</w:t>
            </w:r>
          </w:p>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bookmarkStart w:id="13" w:name="_heading=h.mk4xx5xbdcq5" w:colFirst="0" w:colLast="0"/>
            <w:bookmarkEnd w:id="13"/>
            <w:r>
              <w:rPr>
                <w:color w:val="202124"/>
                <w:sz w:val="16"/>
                <w:szCs w:val="16"/>
                <w:highlight w:val="white"/>
              </w:rPr>
              <w:t xml:space="preserve">2023 : €19.300 millones de euros // 97.000 empleados // 2.000 Unidades de Negocio // 61 países </w:t>
            </w:r>
          </w:p>
          <w:bookmarkStart w:id="14" w:name="_heading=h.b5k9uinpqgus" w:colFirst="0" w:colLast="0"/>
          <w:bookmarkEnd w:id="14"/>
          <w:p w:rsidR="0027137C" w:rsidRDefault="007D5648">
            <w:pPr>
              <w:widowControl/>
              <w:pBdr>
                <w:top w:val="nil"/>
                <w:left w:val="nil"/>
                <w:bottom w:val="nil"/>
                <w:right w:val="nil"/>
                <w:between w:val="nil"/>
              </w:pBdr>
              <w:shd w:val="clear" w:color="auto" w:fill="FFFFFF"/>
              <w:spacing w:after="150"/>
              <w:jc w:val="both"/>
              <w:rPr>
                <w:color w:val="202124"/>
                <w:sz w:val="16"/>
                <w:szCs w:val="16"/>
                <w:highlight w:val="white"/>
              </w:rPr>
            </w:pPr>
            <w:r>
              <w:fldChar w:fldCharType="begin"/>
            </w:r>
            <w:r>
              <w:instrText xml:space="preserve"> HYPERLINK "https://www.vinci-energies.es/" \h </w:instrText>
            </w:r>
            <w:r>
              <w:fldChar w:fldCharType="separate"/>
            </w:r>
            <w:r>
              <w:rPr>
                <w:color w:val="1155CC"/>
                <w:sz w:val="16"/>
                <w:szCs w:val="16"/>
                <w:highlight w:val="white"/>
                <w:u w:val="single"/>
              </w:rPr>
              <w:t>https://www.vinci-energies.es/</w:t>
            </w:r>
            <w:r>
              <w:rPr>
                <w:color w:val="1155CC"/>
                <w:sz w:val="16"/>
                <w:szCs w:val="16"/>
                <w:highlight w:val="white"/>
                <w:u w:val="single"/>
              </w:rPr>
              <w:fldChar w:fldCharType="end"/>
            </w:r>
            <w:r>
              <w:rPr>
                <w:color w:val="202124"/>
                <w:sz w:val="16"/>
                <w:szCs w:val="16"/>
                <w:highlight w:val="white"/>
              </w:rPr>
              <w:t xml:space="preserve">  </w:t>
            </w:r>
          </w:p>
          <w:p w:rsidR="0027137C" w:rsidRDefault="0027137C">
            <w:pPr>
              <w:widowControl/>
              <w:pBdr>
                <w:top w:val="nil"/>
                <w:left w:val="nil"/>
                <w:bottom w:val="nil"/>
                <w:right w:val="nil"/>
                <w:between w:val="nil"/>
              </w:pBdr>
              <w:shd w:val="clear" w:color="auto" w:fill="FFFFFF"/>
              <w:spacing w:after="150"/>
              <w:jc w:val="both"/>
              <w:rPr>
                <w:color w:val="202124"/>
                <w:highlight w:val="white"/>
              </w:rPr>
            </w:pPr>
            <w:bookmarkStart w:id="15" w:name="_heading=h.ixfmm81lj6ff" w:colFirst="0" w:colLast="0"/>
            <w:bookmarkEnd w:id="15"/>
          </w:p>
          <w:p w:rsidR="0027137C" w:rsidRDefault="0027137C">
            <w:pPr>
              <w:jc w:val="both"/>
              <w:rPr>
                <w:b/>
                <w:color w:val="FF7F50"/>
              </w:rPr>
            </w:pPr>
          </w:p>
        </w:tc>
      </w:tr>
    </w:tbl>
    <w:p w:rsidR="0027137C" w:rsidRDefault="0027137C">
      <w:pPr>
        <w:jc w:val="both"/>
      </w:pPr>
    </w:p>
    <w:p w:rsidR="0027137C" w:rsidRDefault="0027137C"/>
    <w:p w:rsidR="0027137C" w:rsidRDefault="0027137C"/>
    <w:sectPr w:rsidR="0027137C">
      <w:headerReference w:type="default" r:id="rId13"/>
      <w:pgSz w:w="11910" w:h="16840"/>
      <w:pgMar w:top="1440" w:right="960" w:bottom="280" w:left="940" w:header="588"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F2C" w:rsidRDefault="007D5648">
      <w:r>
        <w:separator/>
      </w:r>
    </w:p>
  </w:endnote>
  <w:endnote w:type="continuationSeparator" w:id="0">
    <w:p w:rsidR="00C07F2C" w:rsidRDefault="007D5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F2C" w:rsidRDefault="007D5648">
      <w:r>
        <w:separator/>
      </w:r>
    </w:p>
  </w:footnote>
  <w:footnote w:type="continuationSeparator" w:id="0">
    <w:p w:rsidR="00C07F2C" w:rsidRDefault="007D56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37C" w:rsidRDefault="0027137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2130FB"/>
    <w:multiLevelType w:val="multilevel"/>
    <w:tmpl w:val="B248E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A922247"/>
    <w:multiLevelType w:val="multilevel"/>
    <w:tmpl w:val="9006A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37C"/>
    <w:rsid w:val="001E6BB5"/>
    <w:rsid w:val="0027137C"/>
    <w:rsid w:val="007D5648"/>
    <w:rsid w:val="00C07F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A41B3F-694C-4B16-B722-E5579E29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sz w:val="22"/>
        <w:szCs w:val="22"/>
        <w:lang w:val="es-ES" w:eastAsia="es-E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047"/>
    <w:rPr>
      <w:lang w:bidi="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rsid w:val="00170047"/>
    <w:tblPr>
      <w:tblInd w:w="0" w:type="dxa"/>
      <w:tblCellMar>
        <w:top w:w="0" w:type="dxa"/>
        <w:left w:w="0" w:type="dxa"/>
        <w:bottom w:w="0" w:type="dxa"/>
        <w:right w:w="0" w:type="dxa"/>
      </w:tblCellMar>
    </w:tblPr>
  </w:style>
  <w:style w:type="paragraph" w:styleId="Textoindependiente">
    <w:name w:val="Body Text"/>
    <w:basedOn w:val="Normal"/>
    <w:uiPriority w:val="1"/>
    <w:qFormat/>
    <w:rsid w:val="00170047"/>
    <w:rPr>
      <w:sz w:val="18"/>
      <w:szCs w:val="18"/>
    </w:rPr>
  </w:style>
  <w:style w:type="paragraph" w:customStyle="1" w:styleId="Ttulo11">
    <w:name w:val="Título 11"/>
    <w:basedOn w:val="Normal"/>
    <w:uiPriority w:val="1"/>
    <w:qFormat/>
    <w:rsid w:val="00170047"/>
    <w:pPr>
      <w:ind w:left="171" w:right="163"/>
      <w:jc w:val="both"/>
      <w:outlineLvl w:val="1"/>
    </w:pPr>
  </w:style>
  <w:style w:type="paragraph" w:customStyle="1" w:styleId="Ttulo21">
    <w:name w:val="Título 21"/>
    <w:basedOn w:val="Normal"/>
    <w:uiPriority w:val="1"/>
    <w:qFormat/>
    <w:rsid w:val="00170047"/>
    <w:pPr>
      <w:ind w:left="603"/>
      <w:jc w:val="both"/>
      <w:outlineLvl w:val="2"/>
    </w:pPr>
    <w:rPr>
      <w:rFonts w:ascii="Calibri" w:eastAsia="Calibri" w:hAnsi="Calibri" w:cs="Calibri"/>
      <w:sz w:val="20"/>
      <w:szCs w:val="20"/>
    </w:rPr>
  </w:style>
  <w:style w:type="paragraph" w:customStyle="1" w:styleId="Ttulo31">
    <w:name w:val="Título 31"/>
    <w:basedOn w:val="Normal"/>
    <w:uiPriority w:val="1"/>
    <w:qFormat/>
    <w:rsid w:val="00170047"/>
    <w:pPr>
      <w:ind w:left="603"/>
      <w:outlineLvl w:val="3"/>
    </w:pPr>
    <w:rPr>
      <w:rFonts w:ascii="Calibri" w:eastAsia="Calibri" w:hAnsi="Calibri" w:cs="Calibri"/>
      <w:b/>
      <w:bCs/>
      <w:sz w:val="18"/>
      <w:szCs w:val="18"/>
    </w:rPr>
  </w:style>
  <w:style w:type="paragraph" w:styleId="Prrafodelista">
    <w:name w:val="List Paragraph"/>
    <w:basedOn w:val="Normal"/>
    <w:uiPriority w:val="1"/>
    <w:qFormat/>
    <w:rsid w:val="00170047"/>
    <w:pPr>
      <w:ind w:left="531" w:hanging="361"/>
    </w:pPr>
  </w:style>
  <w:style w:type="paragraph" w:customStyle="1" w:styleId="TableParagraph">
    <w:name w:val="Table Paragraph"/>
    <w:basedOn w:val="Normal"/>
    <w:uiPriority w:val="1"/>
    <w:qFormat/>
    <w:rsid w:val="00170047"/>
    <w:pPr>
      <w:jc w:val="both"/>
    </w:pPr>
  </w:style>
  <w:style w:type="character" w:styleId="Hipervnculo">
    <w:name w:val="Hyperlink"/>
    <w:uiPriority w:val="99"/>
    <w:unhideWhenUsed/>
    <w:rsid w:val="00F258B9"/>
    <w:rPr>
      <w:color w:val="0000FF"/>
      <w:u w:val="single"/>
    </w:rPr>
  </w:style>
  <w:style w:type="paragraph" w:styleId="Cita">
    <w:name w:val="Quote"/>
    <w:basedOn w:val="Normal"/>
    <w:next w:val="Normal"/>
    <w:link w:val="CitaCar"/>
    <w:uiPriority w:val="9"/>
    <w:qFormat/>
    <w:rsid w:val="00F258B9"/>
    <w:pPr>
      <w:widowControl/>
      <w:spacing w:before="40" w:after="160" w:line="288" w:lineRule="auto"/>
      <w:jc w:val="both"/>
    </w:pPr>
    <w:rPr>
      <w:rFonts w:eastAsia="Calibri" w:cs="Times New Roman"/>
      <w:color w:val="595959"/>
      <w:kern w:val="20"/>
      <w:szCs w:val="20"/>
      <w:lang w:val="x-none" w:eastAsia="ja-JP" w:bidi="ar-SA"/>
    </w:rPr>
  </w:style>
  <w:style w:type="character" w:customStyle="1" w:styleId="CitaCar">
    <w:name w:val="Cita Car"/>
    <w:basedOn w:val="Fuentedeprrafopredeter"/>
    <w:link w:val="Cita"/>
    <w:uiPriority w:val="9"/>
    <w:rsid w:val="00F258B9"/>
    <w:rPr>
      <w:rFonts w:ascii="Verdana" w:eastAsia="Calibri" w:hAnsi="Verdana" w:cs="Times New Roman"/>
      <w:color w:val="595959"/>
      <w:kern w:val="20"/>
      <w:szCs w:val="20"/>
      <w:lang w:val="x-none" w:eastAsia="ja-JP"/>
    </w:rPr>
  </w:style>
  <w:style w:type="paragraph" w:styleId="NormalWeb">
    <w:name w:val="Normal (Web)"/>
    <w:basedOn w:val="Normal"/>
    <w:uiPriority w:val="99"/>
    <w:unhideWhenUsed/>
    <w:rsid w:val="00F258B9"/>
    <w:pPr>
      <w:widowControl/>
      <w:spacing w:before="100" w:beforeAutospacing="1" w:after="100" w:afterAutospacing="1"/>
    </w:pPr>
    <w:rPr>
      <w:rFonts w:ascii="Times New Roman" w:eastAsia="Times New Roman" w:hAnsi="Times New Roman" w:cs="Times New Roman"/>
      <w:sz w:val="24"/>
      <w:szCs w:val="24"/>
      <w:lang w:bidi="ar-SA"/>
    </w:rPr>
  </w:style>
  <w:style w:type="paragraph" w:customStyle="1" w:styleId="chrome">
    <w:name w:val="chrome"/>
    <w:basedOn w:val="Normal"/>
    <w:rsid w:val="00CC0BC0"/>
    <w:pPr>
      <w:widowControl/>
      <w:spacing w:before="100" w:beforeAutospacing="1" w:after="100" w:afterAutospacing="1"/>
    </w:pPr>
    <w:rPr>
      <w:rFonts w:ascii="Times New Roman" w:eastAsia="Times New Roman" w:hAnsi="Times New Roman" w:cs="Times New Roman"/>
      <w:sz w:val="24"/>
      <w:szCs w:val="24"/>
      <w:lang w:bidi="ar-SA"/>
    </w:rPr>
  </w:style>
  <w:style w:type="character" w:styleId="Textoennegrita">
    <w:name w:val="Strong"/>
    <w:basedOn w:val="Fuentedeprrafopredeter"/>
    <w:uiPriority w:val="22"/>
    <w:qFormat/>
    <w:rsid w:val="00CC0BC0"/>
    <w:rPr>
      <w:b/>
      <w:bCs/>
    </w:rPr>
  </w:style>
  <w:style w:type="character" w:styleId="nfasis">
    <w:name w:val="Emphasis"/>
    <w:basedOn w:val="Fuentedeprrafopredeter"/>
    <w:uiPriority w:val="20"/>
    <w:qFormat/>
    <w:rsid w:val="00CC0BC0"/>
    <w:rPr>
      <w:i/>
      <w:iCs/>
    </w:rPr>
  </w:style>
  <w:style w:type="paragraph" w:styleId="Encabezado">
    <w:name w:val="header"/>
    <w:basedOn w:val="Normal"/>
    <w:link w:val="EncabezadoCar"/>
    <w:uiPriority w:val="99"/>
    <w:unhideWhenUsed/>
    <w:rsid w:val="008524E2"/>
    <w:pPr>
      <w:tabs>
        <w:tab w:val="center" w:pos="4252"/>
        <w:tab w:val="right" w:pos="8504"/>
      </w:tabs>
    </w:pPr>
  </w:style>
  <w:style w:type="character" w:customStyle="1" w:styleId="EncabezadoCar">
    <w:name w:val="Encabezado Car"/>
    <w:basedOn w:val="Fuentedeprrafopredeter"/>
    <w:link w:val="Encabezado"/>
    <w:uiPriority w:val="99"/>
    <w:rsid w:val="008524E2"/>
    <w:rPr>
      <w:rFonts w:ascii="Verdana" w:eastAsia="Verdana" w:hAnsi="Verdana" w:cs="Verdana"/>
      <w:lang w:val="es-ES" w:eastAsia="es-ES" w:bidi="es-ES"/>
    </w:rPr>
  </w:style>
  <w:style w:type="paragraph" w:styleId="Piedepgina">
    <w:name w:val="footer"/>
    <w:basedOn w:val="Normal"/>
    <w:link w:val="PiedepginaCar"/>
    <w:uiPriority w:val="99"/>
    <w:unhideWhenUsed/>
    <w:rsid w:val="008524E2"/>
    <w:pPr>
      <w:tabs>
        <w:tab w:val="center" w:pos="4252"/>
        <w:tab w:val="right" w:pos="8504"/>
      </w:tabs>
    </w:pPr>
  </w:style>
  <w:style w:type="character" w:customStyle="1" w:styleId="PiedepginaCar">
    <w:name w:val="Pie de página Car"/>
    <w:basedOn w:val="Fuentedeprrafopredeter"/>
    <w:link w:val="Piedepgina"/>
    <w:uiPriority w:val="99"/>
    <w:rsid w:val="008524E2"/>
    <w:rPr>
      <w:rFonts w:ascii="Verdana" w:eastAsia="Verdana" w:hAnsi="Verdana" w:cs="Verdana"/>
      <w:lang w:val="es-ES" w:eastAsia="es-ES" w:bidi="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Ind w:w="0" w:type="dxa"/>
      <w:tblCellMar>
        <w:top w:w="0" w:type="dxa"/>
        <w:left w:w="0" w:type="dxa"/>
        <w:bottom w:w="0" w:type="dxa"/>
        <w:right w:w="0" w:type="dxa"/>
      </w:tblCellMar>
    </w:tblPr>
  </w:style>
  <w:style w:type="table" w:customStyle="1" w:styleId="a0">
    <w:basedOn w:val="TableNormal1"/>
    <w:tblPr>
      <w:tblStyleRowBandSize w:val="1"/>
      <w:tblStyleColBandSize w:val="1"/>
      <w:tblInd w:w="0" w:type="dxa"/>
      <w:tblCellMar>
        <w:top w:w="0" w:type="dxa"/>
        <w:left w:w="0" w:type="dxa"/>
        <w:bottom w:w="0" w:type="dxa"/>
        <w:right w:w="0" w:type="dxa"/>
      </w:tblCellMar>
    </w:tblPr>
  </w:style>
  <w:style w:type="table" w:customStyle="1" w:styleId="a1">
    <w:basedOn w:val="TableNormal1"/>
    <w:tblPr>
      <w:tblStyleRowBandSize w:val="1"/>
      <w:tblStyleColBandSize w:val="1"/>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2F12C9"/>
    <w:rPr>
      <w:sz w:val="16"/>
      <w:szCs w:val="16"/>
    </w:rPr>
  </w:style>
  <w:style w:type="paragraph" w:styleId="Textocomentario">
    <w:name w:val="annotation text"/>
    <w:basedOn w:val="Normal"/>
    <w:link w:val="TextocomentarioCar"/>
    <w:uiPriority w:val="99"/>
    <w:unhideWhenUsed/>
    <w:rsid w:val="002F12C9"/>
    <w:rPr>
      <w:sz w:val="20"/>
      <w:szCs w:val="20"/>
    </w:rPr>
  </w:style>
  <w:style w:type="character" w:customStyle="1" w:styleId="TextocomentarioCar">
    <w:name w:val="Texto comentario Car"/>
    <w:basedOn w:val="Fuentedeprrafopredeter"/>
    <w:link w:val="Textocomentario"/>
    <w:uiPriority w:val="99"/>
    <w:rsid w:val="002F12C9"/>
    <w:rPr>
      <w:sz w:val="20"/>
      <w:szCs w:val="20"/>
      <w:lang w:bidi="es-ES"/>
    </w:rPr>
  </w:style>
  <w:style w:type="paragraph" w:styleId="Asuntodelcomentario">
    <w:name w:val="annotation subject"/>
    <w:basedOn w:val="Textocomentario"/>
    <w:next w:val="Textocomentario"/>
    <w:link w:val="AsuntodelcomentarioCar"/>
    <w:uiPriority w:val="99"/>
    <w:semiHidden/>
    <w:unhideWhenUsed/>
    <w:rsid w:val="002F12C9"/>
    <w:rPr>
      <w:b/>
      <w:bCs/>
    </w:rPr>
  </w:style>
  <w:style w:type="character" w:customStyle="1" w:styleId="AsuntodelcomentarioCar">
    <w:name w:val="Asunto del comentario Car"/>
    <w:basedOn w:val="TextocomentarioCar"/>
    <w:link w:val="Asuntodelcomentario"/>
    <w:uiPriority w:val="99"/>
    <w:semiHidden/>
    <w:rsid w:val="002F12C9"/>
    <w:rPr>
      <w:b/>
      <w:bCs/>
      <w:sz w:val="20"/>
      <w:szCs w:val="20"/>
      <w:lang w:bidi="es-ES"/>
    </w:r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aternidad.com/Prensa/es-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x7+WdVXXpSZ6N82GjoJM+53Zfg==">CgMxLjAyCGguZ2pkZ3hzMg5oLmR6NGk4Y3djOGdseTIOaC5qZDJxMGtrbHo4bnEyDmguNGY1aHJtbWVlZzVtMg5oLmdweTc3OGNoZzgybzIOaC5uZTBjemZmN2tlN3cyDmgudXRqd2g1YXZsYWpnMg5oLjM2Z3BmOHNreGk0NzIOaC56MjUzaXVzb2FnN3gyDmguN29uNGNyeHY3cXlvMg5oLjJ0eXNrNDk4YWp1aDIOaC43YnE5bjQ2NWNuanYyDmgubWs0eHg1eGJkY3E1Mg5oLmI1azl1aW5wcWd1czIOaC5peGZtbTgxbGo2ZmY4AHIhMVU5N1pvbld3cVh5VlJTaDZ0dHB4MkhlWDZxMm5TU09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986</Words>
  <Characters>5428</Characters>
  <Application>Microsoft Office Word</Application>
  <DocSecurity>0</DocSecurity>
  <Lines>45</Lines>
  <Paragraphs>12</Paragraphs>
  <ScaleCrop>false</ScaleCrop>
  <Company>Fraternidad Muprespa</Company>
  <LinksUpToDate>false</LinksUpToDate>
  <CharactersWithSpaces>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Fociños Gonzalez, Margarita</cp:lastModifiedBy>
  <cp:revision>3</cp:revision>
  <dcterms:created xsi:type="dcterms:W3CDTF">2024-05-07T11:43:00Z</dcterms:created>
  <dcterms:modified xsi:type="dcterms:W3CDTF">2024-05-14T07:32:00Z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2019-04-23T00:00:00Z</vt:filetime>
  </property>
  <property fmtid="{D5CDD505-2E9C-101B-9397-08002B2CF9AE}" pid="3" name="Creator">
    <vt:lpwstr>Microsoft® Word 2016</vt:lpwstr>
  </property>
  <property fmtid="{D5CDD505-2E9C-101B-9397-08002B2CF9AE}" pid="4" name="LastSaved">
    <vt:filetime>2019-04-23T00:00:00Z</vt:filetime>
  </property>
</Properties>
</file>