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475B14" w14:paraId="1073DFEB" w14:textId="77777777" w:rsidTr="004A284F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BEC9" w14:textId="77777777" w:rsidR="00475B14" w:rsidRDefault="00475B14" w:rsidP="004A284F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E46A44">
              <w:rPr>
                <w:b/>
                <w:bCs/>
                <w:i/>
                <w:iCs/>
                <w:noProof/>
              </w:rPr>
              <w:fldChar w:fldCharType="begin"/>
            </w:r>
            <w:r w:rsidR="00E46A44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E46A44">
              <w:rPr>
                <w:b/>
                <w:bCs/>
                <w:i/>
                <w:iCs/>
                <w:noProof/>
              </w:rPr>
              <w:fldChar w:fldCharType="separate"/>
            </w:r>
            <w:r w:rsidR="00B63096">
              <w:rPr>
                <w:b/>
                <w:bCs/>
                <w:i/>
                <w:iCs/>
                <w:noProof/>
              </w:rPr>
              <w:fldChar w:fldCharType="begin"/>
            </w:r>
            <w:r w:rsidR="00B6309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63096">
              <w:rPr>
                <w:b/>
                <w:bCs/>
                <w:i/>
                <w:iCs/>
                <w:noProof/>
              </w:rPr>
              <w:fldChar w:fldCharType="separate"/>
            </w:r>
            <w:r w:rsidR="006A0773">
              <w:rPr>
                <w:b/>
                <w:bCs/>
                <w:i/>
                <w:iCs/>
                <w:noProof/>
              </w:rPr>
              <w:fldChar w:fldCharType="begin"/>
            </w:r>
            <w:r w:rsidR="006A0773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A0773">
              <w:rPr>
                <w:b/>
                <w:bCs/>
                <w:i/>
                <w:iCs/>
                <w:noProof/>
              </w:rPr>
              <w:fldChar w:fldCharType="separate"/>
            </w:r>
            <w:r w:rsidR="00D21959">
              <w:rPr>
                <w:b/>
                <w:bCs/>
                <w:i/>
                <w:iCs/>
                <w:noProof/>
              </w:rPr>
              <w:fldChar w:fldCharType="begin"/>
            </w:r>
            <w:r w:rsidR="00D21959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21959">
              <w:rPr>
                <w:b/>
                <w:bCs/>
                <w:i/>
                <w:iCs/>
                <w:noProof/>
              </w:rPr>
              <w:fldChar w:fldCharType="separate"/>
            </w:r>
            <w:r w:rsidR="00DE4C05">
              <w:rPr>
                <w:b/>
                <w:bCs/>
                <w:i/>
                <w:iCs/>
                <w:noProof/>
              </w:rPr>
              <w:fldChar w:fldCharType="begin"/>
            </w:r>
            <w:r w:rsidR="00DE4C05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DE4C05">
              <w:rPr>
                <w:b/>
                <w:bCs/>
                <w:i/>
                <w:iCs/>
                <w:noProof/>
              </w:rPr>
              <w:instrText>INCLUDEPICTURE  "cid:image001.png@01</w:instrText>
            </w:r>
            <w:r w:rsidR="00DE4C05">
              <w:rPr>
                <w:b/>
                <w:bCs/>
                <w:i/>
                <w:iCs/>
                <w:noProof/>
              </w:rPr>
              <w:instrText>D20820.8DF2F010" \* MERGEFORMATINET</w:instrText>
            </w:r>
            <w:r w:rsidR="00DE4C05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DE4C05">
              <w:rPr>
                <w:b/>
                <w:bCs/>
                <w:i/>
                <w:iCs/>
                <w:noProof/>
              </w:rPr>
              <w:fldChar w:fldCharType="separate"/>
            </w:r>
            <w:r w:rsidR="00DE4C05">
              <w:rPr>
                <w:b/>
                <w:bCs/>
                <w:i/>
                <w:iCs/>
                <w:noProof/>
              </w:rPr>
              <w:pict w14:anchorId="27CBD1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8pt;height:40.8pt;visibility:visible">
                  <v:imagedata r:id="rId5" r:href="rId6"/>
                </v:shape>
              </w:pict>
            </w:r>
            <w:r w:rsidR="00DE4C05">
              <w:rPr>
                <w:b/>
                <w:bCs/>
                <w:i/>
                <w:iCs/>
                <w:noProof/>
              </w:rPr>
              <w:fldChar w:fldCharType="end"/>
            </w:r>
            <w:r w:rsidR="00D21959">
              <w:rPr>
                <w:b/>
                <w:bCs/>
                <w:i/>
                <w:iCs/>
                <w:noProof/>
              </w:rPr>
              <w:fldChar w:fldCharType="end"/>
            </w:r>
            <w:r w:rsidR="006A0773">
              <w:rPr>
                <w:b/>
                <w:bCs/>
                <w:i/>
                <w:iCs/>
                <w:noProof/>
              </w:rPr>
              <w:fldChar w:fldCharType="end"/>
            </w:r>
            <w:r w:rsidR="00B63096">
              <w:rPr>
                <w:b/>
                <w:bCs/>
                <w:i/>
                <w:iCs/>
                <w:noProof/>
              </w:rPr>
              <w:fldChar w:fldCharType="end"/>
            </w:r>
            <w:r w:rsidR="00E46A44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</w:tc>
      </w:tr>
      <w:tr w:rsidR="00475B14" w14:paraId="6E9B3EC3" w14:textId="77777777" w:rsidTr="004A284F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E501" w14:textId="77777777" w:rsidR="00475B14" w:rsidRDefault="00475B14" w:rsidP="004A284F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475B14" w14:paraId="729670FC" w14:textId="77777777" w:rsidTr="004A284F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3B227" w14:textId="77777777" w:rsidR="00475B14" w:rsidRDefault="00475B14" w:rsidP="004A284F">
            <w:pPr>
              <w:rPr>
                <w:b/>
                <w:bCs/>
                <w:color w:val="1F497D"/>
                <w:sz w:val="36"/>
                <w:szCs w:val="36"/>
              </w:rPr>
            </w:pPr>
          </w:p>
        </w:tc>
      </w:tr>
      <w:tr w:rsidR="00475B14" w14:paraId="1C5215FB" w14:textId="77777777" w:rsidTr="004A284F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6631" w14:textId="77777777" w:rsidR="00475B14" w:rsidRPr="007206E1" w:rsidRDefault="00475B14" w:rsidP="004A284F">
            <w:pPr>
              <w:ind w:left="360"/>
              <w:jc w:val="center"/>
              <w:rPr>
                <w:rFonts w:ascii="Verdana" w:hAnsi="Verdana"/>
                <w:b/>
                <w:color w:val="00B050"/>
                <w:sz w:val="32"/>
                <w:szCs w:val="32"/>
              </w:rPr>
            </w:pPr>
            <w:r>
              <w:rPr>
                <w:rFonts w:ascii="Verdana" w:hAnsi="Verdana"/>
                <w:b/>
                <w:color w:val="00B050"/>
                <w:sz w:val="32"/>
                <w:szCs w:val="32"/>
              </w:rPr>
              <w:t xml:space="preserve">Olvido Arenas, </w:t>
            </w:r>
            <w:r w:rsidRPr="007206E1">
              <w:rPr>
                <w:rFonts w:ascii="Verdana" w:hAnsi="Verdana"/>
                <w:b/>
                <w:color w:val="00B050"/>
                <w:sz w:val="32"/>
                <w:szCs w:val="32"/>
              </w:rPr>
              <w:t>nuev</w:t>
            </w:r>
            <w:r>
              <w:rPr>
                <w:rFonts w:ascii="Verdana" w:hAnsi="Verdana"/>
                <w:b/>
                <w:color w:val="00B050"/>
                <w:sz w:val="32"/>
                <w:szCs w:val="32"/>
              </w:rPr>
              <w:t xml:space="preserve">a subdirectora General de Sistemas de Información y Servicios de </w:t>
            </w:r>
            <w:r w:rsidRPr="007206E1">
              <w:rPr>
                <w:rFonts w:ascii="Verdana" w:hAnsi="Verdana"/>
                <w:b/>
                <w:color w:val="00B050"/>
                <w:sz w:val="32"/>
                <w:szCs w:val="32"/>
              </w:rPr>
              <w:t>Fraternidad-</w:t>
            </w:r>
            <w:proofErr w:type="spellStart"/>
            <w:r w:rsidRPr="007206E1">
              <w:rPr>
                <w:rFonts w:ascii="Verdana" w:hAnsi="Verdana"/>
                <w:b/>
                <w:color w:val="00B050"/>
                <w:sz w:val="32"/>
                <w:szCs w:val="32"/>
              </w:rPr>
              <w:t>Muprespa</w:t>
            </w:r>
            <w:proofErr w:type="spellEnd"/>
            <w:r w:rsidRPr="007206E1">
              <w:rPr>
                <w:rFonts w:ascii="Verdana" w:hAnsi="Verdana"/>
                <w:b/>
                <w:color w:val="00B050"/>
                <w:sz w:val="32"/>
                <w:szCs w:val="32"/>
              </w:rPr>
              <w:t xml:space="preserve"> </w:t>
            </w:r>
          </w:p>
        </w:tc>
      </w:tr>
      <w:tr w:rsidR="00475B14" w14:paraId="79D29D6D" w14:textId="77777777" w:rsidTr="004A284F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1028" w14:textId="77777777" w:rsidR="00475B14" w:rsidRDefault="00475B14" w:rsidP="004A284F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</w:p>
        </w:tc>
      </w:tr>
      <w:tr w:rsidR="00475B14" w14:paraId="4C3DCDD0" w14:textId="77777777" w:rsidTr="004A284F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6911" w14:textId="3C578D4C" w:rsidR="00475B14" w:rsidRPr="007206E1" w:rsidRDefault="00475B14" w:rsidP="004A284F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  <w:r w:rsidRPr="007206E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Madrid, </w:t>
            </w:r>
            <w:r w:rsidR="00D21959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8</w:t>
            </w:r>
            <w:r w:rsidRPr="007206E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de julio de 2025</w:t>
            </w:r>
          </w:p>
          <w:p w14:paraId="18417E6E" w14:textId="77777777" w:rsidR="00475B14" w:rsidRPr="00B42363" w:rsidRDefault="00475B14" w:rsidP="00475B14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/>
                <w:color w:val="00B050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s-ES"/>
              </w:rPr>
              <w:t xml:space="preserve">Arenas, </w:t>
            </w:r>
            <w:r w:rsidRPr="00A215FE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s-ES"/>
              </w:rPr>
              <w:t>i</w:t>
            </w:r>
            <w:r w:rsidRPr="00A215FE">
              <w:rPr>
                <w:rFonts w:ascii="Verdana" w:hAnsi="Verdana"/>
                <w:b/>
                <w:bCs/>
                <w:sz w:val="24"/>
                <w:szCs w:val="24"/>
              </w:rPr>
              <w:t>ngeniera Superior Industrial por la Universidad Politécnica de Madrid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, asume el cargo que ocupaba </w:t>
            </w:r>
            <w:hyperlink r:id="rId7" w:history="1">
              <w:r w:rsidRPr="00B42363">
                <w:rPr>
                  <w:rStyle w:val="Hipervnculo"/>
                  <w:rFonts w:ascii="Verdana" w:eastAsia="Times New Roman" w:hAnsi="Verdana"/>
                  <w:b/>
                  <w:bCs/>
                  <w:color w:val="00B050"/>
                  <w:sz w:val="24"/>
                  <w:szCs w:val="24"/>
                  <w:lang w:eastAsia="es-ES"/>
                </w:rPr>
                <w:t xml:space="preserve">Pedro Serrera, nuevo </w:t>
              </w:r>
              <w:proofErr w:type="gramStart"/>
              <w:r>
                <w:rPr>
                  <w:rStyle w:val="Hipervnculo"/>
                  <w:rFonts w:ascii="Verdana" w:eastAsia="Times New Roman" w:hAnsi="Verdana"/>
                  <w:b/>
                  <w:bCs/>
                  <w:color w:val="00B050"/>
                  <w:sz w:val="24"/>
                  <w:szCs w:val="24"/>
                  <w:lang w:eastAsia="es-ES"/>
                </w:rPr>
                <w:t>S</w:t>
              </w:r>
              <w:r w:rsidRPr="00B42363">
                <w:rPr>
                  <w:rStyle w:val="Hipervnculo"/>
                  <w:rFonts w:ascii="Verdana" w:eastAsia="Times New Roman" w:hAnsi="Verdana"/>
                  <w:b/>
                  <w:bCs/>
                  <w:color w:val="00B050"/>
                  <w:sz w:val="24"/>
                  <w:szCs w:val="24"/>
                  <w:lang w:eastAsia="es-ES"/>
                </w:rPr>
                <w:t xml:space="preserve">ecretario </w:t>
              </w:r>
              <w:r>
                <w:rPr>
                  <w:rStyle w:val="Hipervnculo"/>
                  <w:rFonts w:ascii="Verdana" w:eastAsia="Times New Roman" w:hAnsi="Verdana"/>
                  <w:b/>
                  <w:bCs/>
                  <w:color w:val="00B050"/>
                  <w:sz w:val="24"/>
                  <w:szCs w:val="24"/>
                  <w:lang w:eastAsia="es-ES"/>
                </w:rPr>
                <w:t>G</w:t>
              </w:r>
              <w:r w:rsidRPr="00B42363">
                <w:rPr>
                  <w:rStyle w:val="Hipervnculo"/>
                  <w:rFonts w:ascii="Verdana" w:eastAsia="Times New Roman" w:hAnsi="Verdana"/>
                  <w:b/>
                  <w:bCs/>
                  <w:color w:val="00B050"/>
                  <w:sz w:val="24"/>
                  <w:szCs w:val="24"/>
                  <w:lang w:eastAsia="es-ES"/>
                </w:rPr>
                <w:t>eneral</w:t>
              </w:r>
              <w:proofErr w:type="gramEnd"/>
              <w:r w:rsidRPr="00B42363">
                <w:rPr>
                  <w:rStyle w:val="Hipervnculo"/>
                  <w:rFonts w:ascii="Verdana" w:eastAsia="Times New Roman" w:hAnsi="Verdana"/>
                  <w:b/>
                  <w:bCs/>
                  <w:color w:val="00B050"/>
                  <w:sz w:val="24"/>
                  <w:szCs w:val="24"/>
                  <w:lang w:eastAsia="es-ES"/>
                </w:rPr>
                <w:t xml:space="preserve"> de la entidad</w:t>
              </w:r>
            </w:hyperlink>
          </w:p>
          <w:p w14:paraId="239BFFDB" w14:textId="77777777" w:rsidR="00475B14" w:rsidRPr="00B42363" w:rsidRDefault="00475B14" w:rsidP="004A284F">
            <w:pPr>
              <w:spacing w:after="0" w:line="240" w:lineRule="auto"/>
              <w:ind w:left="720"/>
              <w:jc w:val="both"/>
              <w:textAlignment w:val="baseline"/>
              <w:rPr>
                <w:rFonts w:ascii="Verdana" w:eastAsia="Times New Roman" w:hAnsi="Verdana"/>
                <w:color w:val="000000"/>
                <w:sz w:val="24"/>
                <w:szCs w:val="24"/>
                <w:lang w:eastAsia="es-ES"/>
              </w:rPr>
            </w:pPr>
          </w:p>
          <w:p w14:paraId="32B32962" w14:textId="77777777" w:rsidR="00475B14" w:rsidRPr="00FD4824" w:rsidRDefault="00475B14" w:rsidP="00475B14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D4824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s-ES"/>
              </w:rPr>
              <w:t>Se</w:t>
            </w:r>
            <w:r w:rsidRPr="00B42363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s-ES"/>
              </w:rPr>
              <w:t xml:space="preserve"> ha modificado la estructura de la Subdirección, con la creación del </w:t>
            </w:r>
            <w:r w:rsidRPr="00B42363">
              <w:rPr>
                <w:rFonts w:ascii="Verdana" w:hAnsi="Verdana"/>
                <w:b/>
                <w:bCs/>
                <w:sz w:val="24"/>
                <w:szCs w:val="24"/>
              </w:rPr>
              <w:t xml:space="preserve">Centro de Sistemas de </w:t>
            </w:r>
            <w:r w:rsidRPr="00FD4824">
              <w:rPr>
                <w:rFonts w:ascii="Verdana" w:hAnsi="Verdana"/>
                <w:b/>
                <w:bCs/>
                <w:sz w:val="24"/>
                <w:szCs w:val="24"/>
              </w:rPr>
              <w:t xml:space="preserve">Información, que dirigirá Sergi </w:t>
            </w:r>
            <w:proofErr w:type="spellStart"/>
            <w:r w:rsidRPr="00FD4824">
              <w:rPr>
                <w:rFonts w:ascii="Verdana" w:hAnsi="Verdana"/>
                <w:b/>
                <w:bCs/>
                <w:sz w:val="24"/>
                <w:szCs w:val="24"/>
              </w:rPr>
              <w:t>Frontons</w:t>
            </w:r>
            <w:proofErr w:type="spellEnd"/>
            <w:r w:rsidRPr="00FD4824">
              <w:rPr>
                <w:rFonts w:ascii="Verdana" w:hAnsi="Verdana"/>
                <w:b/>
                <w:bCs/>
                <w:sz w:val="24"/>
                <w:szCs w:val="24"/>
              </w:rPr>
              <w:t xml:space="preserve">  </w:t>
            </w:r>
          </w:p>
          <w:p w14:paraId="1E47709E" w14:textId="77777777" w:rsidR="00475B14" w:rsidRPr="00294651" w:rsidRDefault="00475B14" w:rsidP="004A284F">
            <w:pPr>
              <w:spacing w:after="0" w:line="240" w:lineRule="auto"/>
              <w:ind w:left="714"/>
              <w:jc w:val="both"/>
              <w:textAlignment w:val="baseline"/>
              <w:rPr>
                <w:rFonts w:ascii="Verdana" w:eastAsia="Times New Roman" w:hAnsi="Verdana"/>
                <w:color w:val="000000"/>
                <w:sz w:val="24"/>
                <w:szCs w:val="24"/>
                <w:lang w:eastAsia="es-ES"/>
              </w:rPr>
            </w:pPr>
          </w:p>
          <w:p w14:paraId="35B812F9" w14:textId="5C872756" w:rsidR="00475B14" w:rsidRPr="007206E1" w:rsidRDefault="00475B14" w:rsidP="004A284F">
            <w:pPr>
              <w:pStyle w:val="Prrafodelista"/>
              <w:rPr>
                <w:rFonts w:ascii="Verdana" w:eastAsia="Times New Roman" w:hAnsi="Verdana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 wp14:anchorId="5142E9D0" wp14:editId="001263B1">
                  <wp:extent cx="5280660" cy="39624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066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BCAF6C" w14:textId="64CFA7A7" w:rsidR="00475B14" w:rsidRPr="00294651" w:rsidRDefault="00475B14" w:rsidP="004A284F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1820F0">
              <w:rPr>
                <w:rFonts w:ascii="Verdana" w:hAnsi="Verdana"/>
                <w:b/>
                <w:bCs/>
                <w:sz w:val="24"/>
                <w:szCs w:val="24"/>
              </w:rPr>
              <w:t>Olvido Arenas</w:t>
            </w:r>
            <w:r>
              <w:rPr>
                <w:rFonts w:ascii="Verdana" w:hAnsi="Verdana"/>
                <w:sz w:val="24"/>
                <w:szCs w:val="24"/>
              </w:rPr>
              <w:t xml:space="preserve"> posee además varios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</w:t>
            </w:r>
            <w:r w:rsidR="00B63096">
              <w:rPr>
                <w:rFonts w:ascii="Verdana" w:hAnsi="Verdana"/>
                <w:sz w:val="24"/>
                <w:szCs w:val="24"/>
              </w:rPr>
              <w:t>á</w:t>
            </w:r>
            <w:r>
              <w:rPr>
                <w:rFonts w:ascii="Verdana" w:hAnsi="Verdana"/>
                <w:sz w:val="24"/>
                <w:szCs w:val="24"/>
              </w:rPr>
              <w:t>ster</w:t>
            </w:r>
            <w:r w:rsidR="00B63096">
              <w:rPr>
                <w:rFonts w:ascii="Verdana" w:hAnsi="Verdana"/>
                <w:sz w:val="24"/>
                <w:szCs w:val="24"/>
              </w:rPr>
              <w:t>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: en P</w:t>
            </w:r>
            <w:r w:rsidRPr="00294651">
              <w:rPr>
                <w:rFonts w:ascii="Verdana" w:hAnsi="Verdana"/>
                <w:sz w:val="24"/>
                <w:szCs w:val="24"/>
              </w:rPr>
              <w:t xml:space="preserve">revención de </w:t>
            </w:r>
            <w:r>
              <w:rPr>
                <w:rFonts w:ascii="Verdana" w:hAnsi="Verdana"/>
                <w:sz w:val="24"/>
                <w:szCs w:val="24"/>
              </w:rPr>
              <w:t>R</w:t>
            </w:r>
            <w:r w:rsidRPr="00294651">
              <w:rPr>
                <w:rFonts w:ascii="Verdana" w:hAnsi="Verdana"/>
                <w:sz w:val="24"/>
                <w:szCs w:val="24"/>
              </w:rPr>
              <w:t xml:space="preserve">iesgos </w:t>
            </w:r>
            <w:r>
              <w:rPr>
                <w:rFonts w:ascii="Verdana" w:hAnsi="Verdana"/>
                <w:sz w:val="24"/>
                <w:szCs w:val="24"/>
              </w:rPr>
              <w:t>L</w:t>
            </w:r>
            <w:r w:rsidRPr="00294651">
              <w:rPr>
                <w:rFonts w:ascii="Verdana" w:hAnsi="Verdana"/>
                <w:sz w:val="24"/>
                <w:szCs w:val="24"/>
              </w:rPr>
              <w:t>aborales en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294651">
              <w:rPr>
                <w:rFonts w:ascii="Verdana" w:hAnsi="Verdana"/>
                <w:sz w:val="24"/>
                <w:szCs w:val="24"/>
              </w:rPr>
              <w:t xml:space="preserve">las </w:t>
            </w:r>
            <w:r>
              <w:rPr>
                <w:rFonts w:ascii="Verdana" w:hAnsi="Verdana"/>
                <w:sz w:val="24"/>
                <w:szCs w:val="24"/>
              </w:rPr>
              <w:t xml:space="preserve">tres </w:t>
            </w:r>
            <w:r w:rsidRPr="00294651">
              <w:rPr>
                <w:rFonts w:ascii="Verdana" w:hAnsi="Verdana"/>
                <w:sz w:val="24"/>
                <w:szCs w:val="24"/>
              </w:rPr>
              <w:t>especialidades</w:t>
            </w:r>
            <w:r>
              <w:rPr>
                <w:rFonts w:ascii="Verdana" w:hAnsi="Verdana"/>
                <w:sz w:val="24"/>
                <w:szCs w:val="24"/>
              </w:rPr>
              <w:t>;</w:t>
            </w:r>
            <w:r w:rsidRPr="00294651">
              <w:rPr>
                <w:rFonts w:ascii="Verdana" w:hAnsi="Verdana"/>
                <w:sz w:val="24"/>
                <w:szCs w:val="24"/>
              </w:rPr>
              <w:t xml:space="preserve"> en Planificación y Diseño de Centros </w:t>
            </w:r>
            <w:r w:rsidRPr="00294651">
              <w:rPr>
                <w:rFonts w:ascii="Verdana" w:hAnsi="Verdana"/>
                <w:sz w:val="24"/>
                <w:szCs w:val="24"/>
              </w:rPr>
              <w:lastRenderedPageBreak/>
              <w:t>Sanitarios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294651">
              <w:rPr>
                <w:rFonts w:ascii="Verdana" w:hAnsi="Verdana"/>
                <w:sz w:val="24"/>
                <w:szCs w:val="24"/>
              </w:rPr>
              <w:t xml:space="preserve"> por la </w:t>
            </w:r>
            <w:proofErr w:type="spellStart"/>
            <w:r w:rsidRPr="00294651">
              <w:rPr>
                <w:rFonts w:ascii="Verdana" w:hAnsi="Verdana"/>
                <w:sz w:val="24"/>
                <w:szCs w:val="24"/>
              </w:rPr>
              <w:t>Universitat</w:t>
            </w:r>
            <w:proofErr w:type="spellEnd"/>
            <w:r w:rsidRPr="00294651">
              <w:rPr>
                <w:rFonts w:ascii="Verdana" w:hAnsi="Verdana"/>
                <w:sz w:val="24"/>
                <w:szCs w:val="24"/>
              </w:rPr>
              <w:t xml:space="preserve"> Oberta de Catalunya</w:t>
            </w:r>
            <w:r>
              <w:rPr>
                <w:rFonts w:ascii="Verdana" w:hAnsi="Verdana"/>
                <w:sz w:val="24"/>
                <w:szCs w:val="24"/>
              </w:rPr>
              <w:t xml:space="preserve">; </w:t>
            </w:r>
            <w:r w:rsidRPr="00294651">
              <w:rPr>
                <w:rFonts w:ascii="Verdana" w:hAnsi="Verdana"/>
                <w:sz w:val="24"/>
                <w:szCs w:val="24"/>
              </w:rPr>
              <w:t>y</w:t>
            </w:r>
            <w:r>
              <w:rPr>
                <w:rFonts w:ascii="Verdana" w:hAnsi="Verdana"/>
                <w:sz w:val="24"/>
                <w:szCs w:val="24"/>
              </w:rPr>
              <w:t xml:space="preserve"> e</w:t>
            </w:r>
            <w:r w:rsidRPr="00294651">
              <w:rPr>
                <w:rFonts w:ascii="Verdana" w:hAnsi="Verdana"/>
                <w:sz w:val="24"/>
                <w:szCs w:val="24"/>
              </w:rPr>
              <w:t>n Dirección de Sistemas de Información y Tecnología Empresarial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294651">
              <w:rPr>
                <w:rFonts w:ascii="Verdana" w:hAnsi="Verdana"/>
                <w:sz w:val="24"/>
                <w:szCs w:val="24"/>
              </w:rPr>
              <w:t xml:space="preserve"> por la Universidad Nebrija. </w:t>
            </w:r>
          </w:p>
          <w:p w14:paraId="6EA2C1AF" w14:textId="77777777" w:rsidR="00475B14" w:rsidRDefault="00475B14" w:rsidP="004A284F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94651">
              <w:rPr>
                <w:rFonts w:ascii="Verdana" w:hAnsi="Verdana"/>
                <w:sz w:val="24"/>
                <w:szCs w:val="24"/>
              </w:rPr>
              <w:t>Tras iniciar su experiencia laboral en el sector de la prevención de riesgos laborales, llegó en 1999 al Servicio de Prevención Ajeno de Fraternidad-</w:t>
            </w:r>
            <w:proofErr w:type="spellStart"/>
            <w:r w:rsidRPr="00294651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Pr="00294651">
              <w:rPr>
                <w:rFonts w:ascii="Verdana" w:hAnsi="Verdana"/>
                <w:sz w:val="24"/>
                <w:szCs w:val="24"/>
              </w:rPr>
              <w:t xml:space="preserve">, como técnico de prevención en zonas industriales de Iberia. </w:t>
            </w:r>
          </w:p>
          <w:p w14:paraId="74ED55BA" w14:textId="77777777" w:rsidR="00475B14" w:rsidRDefault="00475B14" w:rsidP="004A284F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94651">
              <w:rPr>
                <w:rFonts w:ascii="Verdana" w:hAnsi="Verdana"/>
                <w:sz w:val="24"/>
                <w:szCs w:val="24"/>
              </w:rPr>
              <w:t xml:space="preserve">En 2009 se incorpora a </w:t>
            </w:r>
            <w:r>
              <w:rPr>
                <w:rFonts w:ascii="Verdana" w:hAnsi="Verdana"/>
                <w:sz w:val="24"/>
                <w:szCs w:val="24"/>
              </w:rPr>
              <w:t xml:space="preserve">los </w:t>
            </w:r>
            <w:r w:rsidRPr="00294651">
              <w:rPr>
                <w:rFonts w:ascii="Verdana" w:hAnsi="Verdana"/>
                <w:sz w:val="24"/>
                <w:szCs w:val="24"/>
              </w:rPr>
              <w:t>Servicios Centrales</w:t>
            </w:r>
            <w:r>
              <w:rPr>
                <w:rFonts w:ascii="Verdana" w:hAnsi="Verdana"/>
                <w:sz w:val="24"/>
                <w:szCs w:val="24"/>
              </w:rPr>
              <w:t xml:space="preserve"> de la Mutua</w:t>
            </w:r>
            <w:r w:rsidRPr="00294651">
              <w:rPr>
                <w:rFonts w:ascii="Verdana" w:hAnsi="Verdana"/>
                <w:sz w:val="24"/>
                <w:szCs w:val="24"/>
              </w:rPr>
              <w:t xml:space="preserve"> como </w:t>
            </w:r>
            <w:r>
              <w:rPr>
                <w:rFonts w:ascii="Verdana" w:hAnsi="Verdana"/>
                <w:sz w:val="24"/>
                <w:szCs w:val="24"/>
              </w:rPr>
              <w:t>j</w:t>
            </w:r>
            <w:r w:rsidRPr="00294651">
              <w:rPr>
                <w:rFonts w:ascii="Verdana" w:hAnsi="Verdana"/>
                <w:sz w:val="24"/>
                <w:szCs w:val="24"/>
              </w:rPr>
              <w:t>efa de Mantenimiento y Servicios Generales del antiguo Hospital Central</w:t>
            </w:r>
            <w:r>
              <w:rPr>
                <w:rFonts w:ascii="Verdana" w:hAnsi="Verdana"/>
                <w:sz w:val="24"/>
                <w:szCs w:val="24"/>
              </w:rPr>
              <w:t xml:space="preserve">. Tras </w:t>
            </w:r>
            <w:r w:rsidRPr="00294651">
              <w:rPr>
                <w:rFonts w:ascii="Verdana" w:hAnsi="Verdana"/>
                <w:sz w:val="24"/>
                <w:szCs w:val="24"/>
              </w:rPr>
              <w:t xml:space="preserve">su demolición, </w:t>
            </w:r>
            <w:r>
              <w:rPr>
                <w:rFonts w:ascii="Verdana" w:hAnsi="Verdana"/>
                <w:sz w:val="24"/>
                <w:szCs w:val="24"/>
              </w:rPr>
              <w:t xml:space="preserve">en 2014, </w:t>
            </w:r>
            <w:r w:rsidRPr="00294651">
              <w:rPr>
                <w:rFonts w:ascii="Verdana" w:hAnsi="Verdana"/>
                <w:sz w:val="24"/>
                <w:szCs w:val="24"/>
              </w:rPr>
              <w:t>se incorporó al Departamento de Obras para participar en la construcción del nuevo Hospital Fraternidad-</w:t>
            </w:r>
            <w:proofErr w:type="spellStart"/>
            <w:r w:rsidRPr="00294651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Pr="00294651">
              <w:rPr>
                <w:rFonts w:ascii="Verdana" w:hAnsi="Verdana"/>
                <w:sz w:val="24"/>
                <w:szCs w:val="24"/>
              </w:rPr>
              <w:t xml:space="preserve"> Habana. </w:t>
            </w:r>
          </w:p>
          <w:p w14:paraId="4FFEA3DA" w14:textId="77777777" w:rsidR="00475B14" w:rsidRDefault="00475B14" w:rsidP="004A284F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294651">
              <w:rPr>
                <w:rFonts w:ascii="Verdana" w:hAnsi="Verdana"/>
                <w:sz w:val="24"/>
                <w:szCs w:val="24"/>
              </w:rPr>
              <w:t xml:space="preserve">En 2018 pasó a dirigir el Departamento de Producción, Sistemas y Comunicaciones dentro de la misma </w:t>
            </w:r>
            <w:r>
              <w:rPr>
                <w:rFonts w:ascii="Verdana" w:hAnsi="Verdana"/>
                <w:sz w:val="24"/>
                <w:szCs w:val="24"/>
              </w:rPr>
              <w:t>s</w:t>
            </w:r>
            <w:r w:rsidRPr="00294651">
              <w:rPr>
                <w:rFonts w:ascii="Verdana" w:hAnsi="Verdana"/>
                <w:sz w:val="24"/>
                <w:szCs w:val="24"/>
              </w:rPr>
              <w:t xml:space="preserve">ubdirección de Sistemas de Información y Servicios, de la que </w:t>
            </w:r>
            <w:r>
              <w:rPr>
                <w:rFonts w:ascii="Verdana" w:hAnsi="Verdana"/>
                <w:sz w:val="24"/>
                <w:szCs w:val="24"/>
              </w:rPr>
              <w:t xml:space="preserve">ahora </w:t>
            </w:r>
            <w:r w:rsidRPr="00294651">
              <w:rPr>
                <w:rFonts w:ascii="Verdana" w:hAnsi="Verdana"/>
                <w:sz w:val="24"/>
                <w:szCs w:val="24"/>
              </w:rPr>
              <w:t>pasa a hacerse cargo.</w:t>
            </w:r>
          </w:p>
          <w:p w14:paraId="76E0AF98" w14:textId="77777777" w:rsidR="00475B14" w:rsidRDefault="00475B14" w:rsidP="004A284F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24BD4C69" w14:textId="40E682F9" w:rsidR="00475B14" w:rsidRDefault="00475B14" w:rsidP="004A284F">
            <w:pPr>
              <w:pStyle w:val="Prrafodelista"/>
              <w:spacing w:after="0" w:line="240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294651">
              <w:rPr>
                <w:rFonts w:ascii="Verdana" w:hAnsi="Verdana"/>
                <w:sz w:val="24"/>
                <w:szCs w:val="24"/>
              </w:rPr>
              <w:t xml:space="preserve">En su trayectoria destaca </w:t>
            </w:r>
            <w:r>
              <w:rPr>
                <w:rFonts w:ascii="Verdana" w:hAnsi="Verdana"/>
                <w:sz w:val="24"/>
                <w:szCs w:val="24"/>
              </w:rPr>
              <w:t>h</w:t>
            </w:r>
            <w:r w:rsidRPr="00294651">
              <w:rPr>
                <w:rFonts w:ascii="Verdana" w:hAnsi="Verdana"/>
                <w:sz w:val="24"/>
                <w:szCs w:val="24"/>
              </w:rPr>
              <w:t xml:space="preserve">aber participado activamente </w:t>
            </w:r>
            <w:r>
              <w:rPr>
                <w:rFonts w:ascii="Verdana" w:hAnsi="Verdana"/>
                <w:sz w:val="24"/>
                <w:szCs w:val="24"/>
              </w:rPr>
              <w:t xml:space="preserve">en </w:t>
            </w:r>
            <w:r w:rsidRPr="00294651">
              <w:rPr>
                <w:rFonts w:ascii="Verdana" w:hAnsi="Verdana"/>
                <w:sz w:val="24"/>
                <w:szCs w:val="24"/>
              </w:rPr>
              <w:t>el ciclo completo de renovación del</w:t>
            </w:r>
            <w:r>
              <w:rPr>
                <w:rFonts w:ascii="Verdana" w:hAnsi="Verdana"/>
                <w:sz w:val="24"/>
                <w:szCs w:val="24"/>
              </w:rPr>
              <w:t xml:space="preserve"> Hospital, desde la fase inicial de redacción de </w:t>
            </w:r>
            <w:r w:rsidRPr="00294651">
              <w:rPr>
                <w:rFonts w:ascii="Verdana" w:hAnsi="Verdana"/>
                <w:sz w:val="24"/>
                <w:szCs w:val="24"/>
              </w:rPr>
              <w:t>informes</w:t>
            </w:r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r w:rsidRPr="00294651">
              <w:rPr>
                <w:rFonts w:ascii="Verdana" w:hAnsi="Verdana"/>
                <w:sz w:val="24"/>
                <w:szCs w:val="24"/>
              </w:rPr>
              <w:t>realizando el traslado de actividad</w:t>
            </w:r>
            <w:r w:rsidRPr="00294651">
              <w:rPr>
                <w:rFonts w:ascii="Verdana" w:hAnsi="Verdana"/>
                <w:b/>
                <w:bCs/>
                <w:sz w:val="24"/>
                <w:szCs w:val="24"/>
              </w:rPr>
              <w:t xml:space="preserve">, </w:t>
            </w:r>
            <w:r w:rsidRPr="002E2901">
              <w:rPr>
                <w:rFonts w:ascii="Verdana" w:hAnsi="Verdana"/>
                <w:sz w:val="24"/>
                <w:szCs w:val="24"/>
              </w:rPr>
              <w:t xml:space="preserve">su cierre y demolición y participando en la nueva obra, que culminó con la apertura del nuevo </w:t>
            </w:r>
            <w:r>
              <w:rPr>
                <w:rFonts w:ascii="Verdana" w:hAnsi="Verdana"/>
                <w:sz w:val="24"/>
                <w:szCs w:val="24"/>
              </w:rPr>
              <w:t>centro</w:t>
            </w:r>
            <w:r w:rsidRPr="00294651">
              <w:rPr>
                <w:rFonts w:ascii="Verdana" w:hAnsi="Verdana"/>
                <w:sz w:val="24"/>
                <w:szCs w:val="24"/>
              </w:rPr>
              <w:t xml:space="preserve"> en 2019</w:t>
            </w:r>
            <w:r w:rsidR="006A0773" w:rsidRPr="00D21959">
              <w:rPr>
                <w:rFonts w:ascii="Verdana" w:hAnsi="Verdana"/>
                <w:sz w:val="24"/>
                <w:szCs w:val="24"/>
              </w:rPr>
              <w:t xml:space="preserve">, año en el que también fue distinguido como uno de los cuatro hospitales más sostenibles del mundo gracias a su certificación LEED </w:t>
            </w:r>
            <w:proofErr w:type="spellStart"/>
            <w:r w:rsidR="006A0773" w:rsidRPr="00D21959">
              <w:rPr>
                <w:rFonts w:ascii="Verdana" w:hAnsi="Verdana"/>
                <w:sz w:val="24"/>
                <w:szCs w:val="24"/>
              </w:rPr>
              <w:t>Healthcare</w:t>
            </w:r>
            <w:proofErr w:type="spellEnd"/>
            <w:r w:rsidR="006A0773" w:rsidRPr="00D21959">
              <w:rPr>
                <w:rFonts w:ascii="Verdana" w:hAnsi="Verdana"/>
                <w:sz w:val="24"/>
                <w:szCs w:val="24"/>
              </w:rPr>
              <w:t xml:space="preserve"> Platino.</w:t>
            </w:r>
          </w:p>
          <w:p w14:paraId="0D292B18" w14:textId="77777777" w:rsidR="00475B14" w:rsidRPr="00294651" w:rsidRDefault="00475B14" w:rsidP="004A284F">
            <w:pPr>
              <w:pStyle w:val="Prrafodelista"/>
              <w:spacing w:after="0" w:line="240" w:lineRule="auto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7F66EE1D" w14:textId="6EE550B9" w:rsidR="00475B14" w:rsidRDefault="00475B14" w:rsidP="004A284F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Asimismo</w:t>
            </w:r>
            <w:r w:rsidR="00E46A44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destaca su papel decisivo durante la pandemia de coronavirus, ya que el </w:t>
            </w:r>
            <w:r w:rsidRPr="00294651">
              <w:rPr>
                <w:rFonts w:ascii="Verdana" w:hAnsi="Verdana"/>
                <w:sz w:val="24"/>
                <w:szCs w:val="24"/>
              </w:rPr>
              <w:t>Departamento de Producción, Sistemas y Comunicaciones</w:t>
            </w:r>
            <w:r>
              <w:rPr>
                <w:rFonts w:ascii="Verdana" w:hAnsi="Verdana"/>
                <w:sz w:val="24"/>
                <w:szCs w:val="24"/>
              </w:rPr>
              <w:t xml:space="preserve"> que dirigía se hizo cargo de hacer realidad el </w:t>
            </w:r>
            <w:r w:rsidRPr="00294651">
              <w:rPr>
                <w:rFonts w:ascii="Verdana" w:hAnsi="Verdana"/>
                <w:sz w:val="24"/>
                <w:szCs w:val="24"/>
              </w:rPr>
              <w:t>trabajo remoto</w:t>
            </w:r>
            <w:r>
              <w:rPr>
                <w:rFonts w:ascii="Verdana" w:hAnsi="Verdana"/>
                <w:sz w:val="24"/>
                <w:szCs w:val="24"/>
              </w:rPr>
              <w:t xml:space="preserve"> para gran parte de la plantilla de la Mutua, además de</w:t>
            </w:r>
            <w:r w:rsidRPr="00294651">
              <w:rPr>
                <w:rFonts w:ascii="Verdana" w:hAnsi="Verdana"/>
                <w:sz w:val="24"/>
                <w:szCs w:val="24"/>
              </w:rPr>
              <w:t xml:space="preserve"> proveer </w:t>
            </w:r>
            <w:r>
              <w:rPr>
                <w:rFonts w:ascii="Verdana" w:hAnsi="Verdana"/>
                <w:sz w:val="24"/>
                <w:szCs w:val="24"/>
              </w:rPr>
              <w:t>d</w:t>
            </w:r>
            <w:r w:rsidRPr="00294651">
              <w:rPr>
                <w:rFonts w:ascii="Verdana" w:hAnsi="Verdana"/>
                <w:sz w:val="24"/>
                <w:szCs w:val="24"/>
              </w:rPr>
              <w:t>e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294651">
              <w:rPr>
                <w:rFonts w:ascii="Verdana" w:hAnsi="Verdana"/>
                <w:sz w:val="24"/>
                <w:szCs w:val="24"/>
              </w:rPr>
              <w:t>equipamiento</w:t>
            </w:r>
            <w:r>
              <w:rPr>
                <w:rFonts w:ascii="Verdana" w:hAnsi="Verdana"/>
                <w:sz w:val="24"/>
                <w:szCs w:val="24"/>
              </w:rPr>
              <w:t>s</w:t>
            </w:r>
            <w:r w:rsidRPr="00294651">
              <w:rPr>
                <w:rFonts w:ascii="Verdana" w:hAnsi="Verdana"/>
                <w:sz w:val="24"/>
                <w:szCs w:val="24"/>
              </w:rPr>
              <w:t xml:space="preserve"> informático</w:t>
            </w:r>
            <w:r>
              <w:rPr>
                <w:rFonts w:ascii="Verdana" w:hAnsi="Verdana"/>
                <w:sz w:val="24"/>
                <w:szCs w:val="24"/>
              </w:rPr>
              <w:t>s</w:t>
            </w:r>
            <w:r w:rsidRPr="00294651">
              <w:rPr>
                <w:rFonts w:ascii="Verdana" w:hAnsi="Verdana"/>
                <w:sz w:val="24"/>
                <w:szCs w:val="24"/>
              </w:rPr>
              <w:t>, conectividad y acceso a las aplicaciones</w:t>
            </w:r>
            <w:r>
              <w:rPr>
                <w:rFonts w:ascii="Verdana" w:hAnsi="Verdana"/>
                <w:sz w:val="24"/>
                <w:szCs w:val="24"/>
              </w:rPr>
              <w:t xml:space="preserve"> con total seguridad. </w:t>
            </w:r>
          </w:p>
          <w:p w14:paraId="2AC9C9CB" w14:textId="77777777" w:rsidR="00475B14" w:rsidRDefault="00475B14" w:rsidP="004A284F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1A4F42F2" w14:textId="3E1A92CB" w:rsidR="00475B14" w:rsidRDefault="00475B14" w:rsidP="004A284F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Coincidiendo con esta nueva etapa</w:t>
            </w:r>
            <w:r w:rsidR="009F122B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 xml:space="preserve">en la </w:t>
            </w:r>
            <w:r w:rsidRPr="00A37128">
              <w:rPr>
                <w:rFonts w:ascii="Verdana" w:hAnsi="Verdana"/>
                <w:sz w:val="24"/>
                <w:szCs w:val="24"/>
              </w:rPr>
              <w:t>Subdirección General de Sistemas de Información y Servicios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A37128">
              <w:rPr>
                <w:rFonts w:ascii="Verdana" w:hAnsi="Verdana"/>
                <w:sz w:val="24"/>
                <w:szCs w:val="24"/>
              </w:rPr>
              <w:t xml:space="preserve"> se ha reorganizado</w:t>
            </w:r>
            <w:r>
              <w:rPr>
                <w:rFonts w:ascii="Verdana" w:hAnsi="Verdana"/>
                <w:sz w:val="24"/>
                <w:szCs w:val="24"/>
              </w:rPr>
              <w:t xml:space="preserve"> su estructura con la </w:t>
            </w:r>
            <w:r w:rsidRPr="00A37128">
              <w:rPr>
                <w:rFonts w:ascii="Verdana" w:hAnsi="Verdana"/>
                <w:sz w:val="24"/>
                <w:szCs w:val="24"/>
              </w:rPr>
              <w:t>crea</w:t>
            </w:r>
            <w:r>
              <w:rPr>
                <w:rFonts w:ascii="Verdana" w:hAnsi="Verdana"/>
                <w:sz w:val="24"/>
                <w:szCs w:val="24"/>
              </w:rPr>
              <w:t>ción d</w:t>
            </w:r>
            <w:r w:rsidRPr="00A37128">
              <w:rPr>
                <w:rFonts w:ascii="Verdana" w:hAnsi="Verdana"/>
                <w:sz w:val="24"/>
                <w:szCs w:val="24"/>
              </w:rPr>
              <w:t xml:space="preserve">el </w:t>
            </w:r>
            <w:r>
              <w:rPr>
                <w:rFonts w:ascii="Verdana" w:hAnsi="Verdana"/>
                <w:sz w:val="24"/>
                <w:szCs w:val="24"/>
              </w:rPr>
              <w:t>C</w:t>
            </w:r>
            <w:r w:rsidRPr="00A37128">
              <w:rPr>
                <w:rFonts w:ascii="Verdana" w:hAnsi="Verdana"/>
                <w:sz w:val="24"/>
                <w:szCs w:val="24"/>
              </w:rPr>
              <w:t>entro de Sistemas de Información, que asume las áreas del ámbito de desarrollo</w:t>
            </w:r>
            <w:r>
              <w:rPr>
                <w:rFonts w:ascii="Verdana" w:hAnsi="Verdana"/>
                <w:sz w:val="24"/>
                <w:szCs w:val="24"/>
              </w:rPr>
              <w:t xml:space="preserve">. De él </w:t>
            </w:r>
            <w:r w:rsidRPr="00A37128">
              <w:rPr>
                <w:rFonts w:ascii="Verdana" w:hAnsi="Verdana"/>
                <w:sz w:val="24"/>
                <w:szCs w:val="24"/>
              </w:rPr>
              <w:t xml:space="preserve">también dependen los departamentos de Producción, Sistemas y Comunicaciones y Seguridad de Sistemas de Información, así como el área del </w:t>
            </w:r>
            <w:r w:rsidRPr="00FD4824">
              <w:rPr>
                <w:rFonts w:ascii="Verdana" w:hAnsi="Verdana"/>
                <w:sz w:val="24"/>
                <w:szCs w:val="24"/>
              </w:rPr>
              <w:t xml:space="preserve">Dato. </w:t>
            </w:r>
            <w:r w:rsidRPr="00FD4824">
              <w:rPr>
                <w:rFonts w:ascii="Verdana" w:hAnsi="Verdana"/>
                <w:b/>
                <w:bCs/>
                <w:sz w:val="24"/>
                <w:szCs w:val="24"/>
              </w:rPr>
              <w:t xml:space="preserve">Sergi </w:t>
            </w:r>
            <w:proofErr w:type="spellStart"/>
            <w:r w:rsidRPr="00FD4824">
              <w:rPr>
                <w:rFonts w:ascii="Verdana" w:hAnsi="Verdana"/>
                <w:b/>
                <w:bCs/>
                <w:sz w:val="24"/>
                <w:szCs w:val="24"/>
              </w:rPr>
              <w:t>Frontons</w:t>
            </w:r>
            <w:proofErr w:type="spellEnd"/>
            <w:r w:rsidRPr="00FD4824">
              <w:rPr>
                <w:rFonts w:ascii="Verdana" w:hAnsi="Verdana"/>
                <w:sz w:val="24"/>
                <w:szCs w:val="24"/>
              </w:rPr>
              <w:t xml:space="preserve"> asume la dirección de este Centro.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6DC7FB5A" w14:textId="77777777" w:rsidR="00475B14" w:rsidRDefault="00475B14" w:rsidP="004A284F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2C02A9CD" w14:textId="77777777" w:rsidR="00475B14" w:rsidRDefault="00475B14" w:rsidP="004A284F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A37128">
              <w:rPr>
                <w:rFonts w:ascii="Verdana" w:hAnsi="Verdana"/>
                <w:sz w:val="24"/>
                <w:szCs w:val="24"/>
              </w:rPr>
              <w:t>Los demás departamentos, Obras, Contratación y Compras y Servicios, siguen dependiendo de la Subdirección.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7D38EBEB" w14:textId="77777777" w:rsidR="00475B14" w:rsidRDefault="00475B14" w:rsidP="004A284F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BBF9D65" w14:textId="77777777" w:rsidR="00475B14" w:rsidRDefault="00475B14" w:rsidP="004A284F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2E2901">
              <w:rPr>
                <w:rFonts w:ascii="Verdana" w:hAnsi="Verdana"/>
                <w:sz w:val="24"/>
                <w:szCs w:val="24"/>
              </w:rPr>
              <w:t xml:space="preserve">Arenas afronta esta nueva etapa </w:t>
            </w:r>
            <w:r>
              <w:rPr>
                <w:rFonts w:ascii="Verdana" w:hAnsi="Verdana"/>
                <w:sz w:val="24"/>
                <w:szCs w:val="24"/>
              </w:rPr>
              <w:t>“</w:t>
            </w:r>
            <w:r w:rsidRPr="00A215FE">
              <w:rPr>
                <w:rFonts w:ascii="Verdana" w:hAnsi="Verdana"/>
                <w:i/>
                <w:iCs/>
                <w:sz w:val="24"/>
                <w:szCs w:val="24"/>
              </w:rPr>
              <w:t>con la misma ilusión que cuando inicié mi andadura en la entidad, con vocación de servicio y ganas de seguir aportando, como agradecimiento a la confianza que la mutua ha depositado siempre en mí</w:t>
            </w:r>
            <w:r>
              <w:rPr>
                <w:rFonts w:ascii="Verdana" w:hAnsi="Verdana"/>
                <w:sz w:val="24"/>
                <w:szCs w:val="24"/>
              </w:rPr>
              <w:t>”</w:t>
            </w:r>
            <w:r w:rsidRPr="002E2901">
              <w:rPr>
                <w:rFonts w:ascii="Verdana" w:hAnsi="Verdana"/>
                <w:sz w:val="24"/>
                <w:szCs w:val="24"/>
              </w:rPr>
              <w:t>.</w:t>
            </w:r>
          </w:p>
          <w:p w14:paraId="5105EB74" w14:textId="77777777" w:rsidR="00475B14" w:rsidRDefault="00475B14" w:rsidP="004A284F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6B26B115" w14:textId="77777777" w:rsidR="00475B14" w:rsidRDefault="00475B14" w:rsidP="004A284F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46645AB4" w14:textId="77777777" w:rsidR="00475B14" w:rsidRDefault="00475B14" w:rsidP="004A284F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12F890C6" w14:textId="77777777" w:rsidR="00475B14" w:rsidRDefault="00475B14" w:rsidP="004A284F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64D6A630" w14:textId="77777777" w:rsidR="00475B14" w:rsidRPr="002E2901" w:rsidRDefault="00475B14" w:rsidP="004A284F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tbl>
            <w:tblPr>
              <w:tblW w:w="9078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8"/>
            </w:tblGrid>
            <w:tr w:rsidR="00475B14" w:rsidRPr="007206E1" w14:paraId="52E06A5E" w14:textId="77777777" w:rsidTr="004A284F">
              <w:trPr>
                <w:trHeight w:val="478"/>
                <w:jc w:val="center"/>
              </w:trPr>
              <w:tc>
                <w:tcPr>
                  <w:tcW w:w="9078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B26A5D" w14:textId="77777777" w:rsidR="00475B14" w:rsidRDefault="00475B14" w:rsidP="004A284F"/>
                <w:tbl>
                  <w:tblPr>
                    <w:tblW w:w="8862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62"/>
                  </w:tblGrid>
                  <w:tr w:rsidR="00475B14" w:rsidRPr="007206E1" w14:paraId="3FA4C04B" w14:textId="77777777" w:rsidTr="004A284F">
                    <w:trPr>
                      <w:trHeight w:val="498"/>
                      <w:jc w:val="center"/>
                    </w:trPr>
                    <w:tc>
                      <w:tcPr>
                        <w:tcW w:w="8862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CA72CFA" w14:textId="77777777" w:rsidR="00475B14" w:rsidRPr="004E1752" w:rsidRDefault="00475B14" w:rsidP="004A284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E1752">
                          <w:rPr>
                            <w:b/>
                            <w:bCs/>
                            <w:sz w:val="28"/>
                            <w:szCs w:val="28"/>
                          </w:rPr>
                          <w:t>Sobre Fraternidad-</w:t>
                        </w:r>
                        <w:proofErr w:type="spellStart"/>
                        <w:r w:rsidRPr="004E1752">
                          <w:rPr>
                            <w:b/>
                            <w:bCs/>
                            <w:sz w:val="28"/>
                            <w:szCs w:val="28"/>
                          </w:rPr>
                          <w:t>Muprespa</w:t>
                        </w:r>
                        <w:proofErr w:type="spellEnd"/>
                        <w:r w:rsidRPr="004E1752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: </w:t>
                        </w:r>
                      </w:p>
                      <w:p w14:paraId="64755FB0" w14:textId="77777777" w:rsidR="00475B14" w:rsidRPr="007206E1" w:rsidRDefault="00475B14" w:rsidP="004A284F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 w:val="18"/>
                            <w:szCs w:val="22"/>
                            <w:lang w:val="es-ES"/>
                          </w:rPr>
                        </w:pPr>
                        <w:r w:rsidRPr="007206E1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n-US"/>
                          </w:rPr>
                          <w:t xml:space="preserve">Mutua Colaboradora con la Seguridad Social </w:t>
                        </w:r>
                        <w:proofErr w:type="spellStart"/>
                        <w:r w:rsidRPr="007206E1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n-US"/>
                          </w:rPr>
                          <w:t>nº</w:t>
                        </w:r>
                        <w:proofErr w:type="spellEnd"/>
                        <w:r w:rsidRPr="007206E1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n-US"/>
                          </w:rPr>
                          <w:t xml:space="preserve"> 275, tiene por actividad el tratamiento integral de los accidentes de trabajo y enfermedades profesionales, en su vertiente económica, sanitaria, recuperadora y preventiva. </w:t>
                        </w:r>
                        <w:r w:rsidRPr="007206E1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 xml:space="preserve">Tiene asociadas 118.421 </w:t>
                        </w:r>
                        <w:r w:rsidRPr="007206E1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n-US"/>
                          </w:rPr>
                          <w:t>empresas y más de 1.600.000 trabajadores</w:t>
                        </w:r>
                        <w:r w:rsidRPr="007206E1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, velando por ellos, una plantilla de 2.153 empleados y 115 centros asistenciales y administrativos en toda España.</w:t>
                        </w:r>
                        <w:r w:rsidRPr="007206E1">
                          <w:rPr>
                            <w:rFonts w:ascii="Calibri" w:hAnsi="Calibri" w:cs="Calibri"/>
                            <w:sz w:val="18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14:paraId="05E4E04C" w14:textId="77777777" w:rsidR="00475B14" w:rsidRPr="007206E1" w:rsidRDefault="00475B14" w:rsidP="004A284F">
                        <w:pPr>
                          <w:rPr>
                            <w:sz w:val="8"/>
                            <w:lang w:eastAsia="ja-JP"/>
                          </w:rPr>
                        </w:pPr>
                        <w:r w:rsidRPr="007206E1">
                          <w:rPr>
                            <w:sz w:val="8"/>
                            <w:lang w:eastAsia="ja-JP"/>
                          </w:rPr>
                          <w:t xml:space="preserve">   </w:t>
                        </w:r>
                      </w:p>
                      <w:p w14:paraId="387D72AA" w14:textId="77777777" w:rsidR="00475B14" w:rsidRPr="007206E1" w:rsidRDefault="00475B14" w:rsidP="004A284F">
                        <w:pPr>
                          <w:pStyle w:val="Cita"/>
                          <w:spacing w:before="0" w:after="0" w:line="240" w:lineRule="auto"/>
                          <w:rPr>
                            <w:sz w:val="18"/>
                          </w:rPr>
                        </w:pPr>
                      </w:p>
                    </w:tc>
                  </w:tr>
                  <w:tr w:rsidR="00475B14" w:rsidRPr="007206E1" w14:paraId="785DE1BF" w14:textId="77777777" w:rsidTr="004A284F">
                    <w:trPr>
                      <w:trHeight w:val="240"/>
                      <w:jc w:val="center"/>
                    </w:trPr>
                    <w:tc>
                      <w:tcPr>
                        <w:tcW w:w="8862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E71E399" w14:textId="77777777" w:rsidR="00475B14" w:rsidRPr="007206E1" w:rsidRDefault="00475B14" w:rsidP="004A284F">
                        <w:pPr>
                          <w:spacing w:after="0" w:line="24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206E1">
                          <w:rPr>
                            <w:sz w:val="18"/>
                            <w:szCs w:val="18"/>
                          </w:rPr>
                          <w:t>GABINETE DE PRENSA</w:t>
                        </w:r>
                      </w:p>
                      <w:p w14:paraId="62354311" w14:textId="77777777" w:rsidR="00475B14" w:rsidRPr="007206E1" w:rsidRDefault="00DE4C05" w:rsidP="004A284F">
                        <w:pPr>
                          <w:spacing w:after="0" w:line="24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475B14" w:rsidRPr="007206E1">
                            <w:rPr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14:paraId="305ABEE4" w14:textId="77777777" w:rsidR="00475B14" w:rsidRPr="007206E1" w:rsidRDefault="00475B14" w:rsidP="004A284F">
                        <w:pPr>
                          <w:spacing w:after="0" w:line="24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206E1">
                          <w:rPr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  <w:p w14:paraId="2459F0E5" w14:textId="77777777" w:rsidR="00475B14" w:rsidRPr="007206E1" w:rsidRDefault="00475B14" w:rsidP="004A284F">
                        <w:pPr>
                          <w:spacing w:after="0" w:line="24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297B4048" w14:textId="77777777" w:rsidR="00475B14" w:rsidRPr="007206E1" w:rsidRDefault="00475B14" w:rsidP="004A284F">
                        <w:pPr>
                          <w:spacing w:after="0" w:line="240" w:lineRule="atLeast"/>
                          <w:jc w:val="center"/>
                          <w:rPr>
                            <w:i/>
                            <w:iCs/>
                            <w:sz w:val="18"/>
                          </w:rPr>
                        </w:pPr>
                      </w:p>
                    </w:tc>
                  </w:tr>
                </w:tbl>
                <w:p w14:paraId="44AA4330" w14:textId="77777777" w:rsidR="00475B14" w:rsidRPr="007206E1" w:rsidRDefault="00475B14" w:rsidP="004A284F">
                  <w:pPr>
                    <w:jc w:val="both"/>
                  </w:pPr>
                </w:p>
              </w:tc>
            </w:tr>
          </w:tbl>
          <w:p w14:paraId="065D8180" w14:textId="77777777" w:rsidR="00475B14" w:rsidRPr="007206E1" w:rsidRDefault="00475B14" w:rsidP="004A284F">
            <w:pPr>
              <w:jc w:val="both"/>
              <w:rPr>
                <w:rFonts w:ascii="Verdana" w:hAnsi="Verdana" w:cs="Calibri"/>
              </w:rPr>
            </w:pPr>
          </w:p>
        </w:tc>
      </w:tr>
    </w:tbl>
    <w:p w14:paraId="7A0D74E2" w14:textId="77777777" w:rsidR="00475B14" w:rsidRDefault="00475B14" w:rsidP="00475B14"/>
    <w:p w14:paraId="5B735BF2" w14:textId="77777777" w:rsidR="00D83E3A" w:rsidRDefault="00D83E3A"/>
    <w:sectPr w:rsidR="00D83E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F22C2"/>
    <w:multiLevelType w:val="hybridMultilevel"/>
    <w:tmpl w:val="47340846"/>
    <w:lvl w:ilvl="0" w:tplc="E62EE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B6"/>
    <w:rsid w:val="00475B14"/>
    <w:rsid w:val="006A0773"/>
    <w:rsid w:val="009A24B6"/>
    <w:rsid w:val="009F122B"/>
    <w:rsid w:val="00B63096"/>
    <w:rsid w:val="00D21959"/>
    <w:rsid w:val="00D83E3A"/>
    <w:rsid w:val="00DE4C05"/>
    <w:rsid w:val="00E46A44"/>
    <w:rsid w:val="00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ED69EC"/>
  <w15:chartTrackingRefBased/>
  <w15:docId w15:val="{F64730AA-FF1F-439A-82CE-8D314928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B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75B1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75B14"/>
    <w:pPr>
      <w:spacing w:after="200" w:line="276" w:lineRule="auto"/>
      <w:ind w:left="720"/>
      <w:contextualSpacing/>
    </w:pPr>
  </w:style>
  <w:style w:type="paragraph" w:styleId="Cita">
    <w:name w:val="Quote"/>
    <w:basedOn w:val="Normal"/>
    <w:next w:val="Normal"/>
    <w:link w:val="CitaCar"/>
    <w:uiPriority w:val="9"/>
    <w:qFormat/>
    <w:rsid w:val="00475B14"/>
    <w:pPr>
      <w:spacing w:before="40" w:line="288" w:lineRule="auto"/>
      <w:jc w:val="both"/>
    </w:pPr>
    <w:rPr>
      <w:rFonts w:ascii="Verdana" w:hAnsi="Verdana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475B14"/>
    <w:rPr>
      <w:rFonts w:ascii="Verdana" w:eastAsia="Calibri" w:hAnsi="Verdana" w:cs="Times New Roman"/>
      <w:color w:val="595959"/>
      <w:kern w:val="20"/>
      <w:szCs w:val="20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fraternidad.com/es-ES/prensa/pedro-serrera-cobos-nuevo-secretario-general-de-fraternidad-mupres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C:\Users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903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Fociños Gonzalez, Margarita</dc:creator>
  <cp:keywords/>
  <dc:description/>
  <cp:lastModifiedBy>Fociños Gonzalez, Margarita</cp:lastModifiedBy>
  <cp:revision>4</cp:revision>
  <dcterms:created xsi:type="dcterms:W3CDTF">2025-07-03T07:13:00Z</dcterms:created>
  <dcterms:modified xsi:type="dcterms:W3CDTF">2025-07-07T08:13:00Z</dcterms:modified>
</cp:coreProperties>
</file>