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0"/>
      </w:tblGrid>
      <w:tr w:rsidR="00F258B9" w14:paraId="3B514F8D" w14:textId="77777777" w:rsidTr="00585114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CF32" w14:textId="77777777" w:rsidR="00F258B9" w:rsidRDefault="000529EF" w:rsidP="00585114">
            <w:pPr>
              <w:jc w:val="center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  <w:lang w:bidi="ar-SA"/>
              </w:rPr>
              <w:drawing>
                <wp:inline distT="0" distB="0" distL="0" distR="0" wp14:anchorId="16742F5A" wp14:editId="02494CD7">
                  <wp:extent cx="1962150" cy="514350"/>
                  <wp:effectExtent l="0" t="0" r="0" b="0"/>
                  <wp:docPr id="1" name="Imagen 1" descr="cid:image001.png@01D20820.8DF2F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0820.8DF2F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386A43" w14:textId="77777777" w:rsidR="00BF21BA" w:rsidRDefault="00BF21BA" w:rsidP="00585114">
            <w:pPr>
              <w:jc w:val="center"/>
            </w:pPr>
          </w:p>
        </w:tc>
      </w:tr>
      <w:tr w:rsidR="006456C8" w14:paraId="28E72AD1" w14:textId="77777777" w:rsidTr="00585114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4CC1" w14:textId="77777777" w:rsidR="008B452E" w:rsidRDefault="008B452E" w:rsidP="008B452E">
            <w:pPr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965AB71" w14:textId="12B59387" w:rsidR="006456C8" w:rsidRPr="008B452E" w:rsidRDefault="006456C8" w:rsidP="008B452E">
            <w:pPr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B452E">
              <w:rPr>
                <w:b/>
                <w:bCs/>
                <w:color w:val="000000"/>
                <w:sz w:val="28"/>
                <w:szCs w:val="28"/>
              </w:rPr>
              <w:t>NOTA DE PRENSA</w:t>
            </w:r>
          </w:p>
          <w:p w14:paraId="3C094FE8" w14:textId="590B29B4" w:rsidR="008B452E" w:rsidRDefault="000434CA" w:rsidP="008B45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  <w:r w:rsidR="008B452E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 xml:space="preserve"> EDICIÓ</w:t>
            </w:r>
            <w:r w:rsidR="006456C8" w:rsidRPr="00B00226">
              <w:rPr>
                <w:b/>
                <w:sz w:val="28"/>
                <w:szCs w:val="28"/>
              </w:rPr>
              <w:t>N</w:t>
            </w:r>
            <w:r w:rsidR="000967A5">
              <w:rPr>
                <w:b/>
                <w:sz w:val="28"/>
                <w:szCs w:val="28"/>
              </w:rPr>
              <w:t xml:space="preserve"> DE LOS</w:t>
            </w:r>
            <w:r w:rsidR="006456C8" w:rsidRPr="00B00226">
              <w:rPr>
                <w:b/>
                <w:sz w:val="28"/>
                <w:szCs w:val="28"/>
              </w:rPr>
              <w:t xml:space="preserve"> PREMIOS ESCOLÁSTICO ZALDÍVAR  </w:t>
            </w:r>
          </w:p>
          <w:p w14:paraId="5412A950" w14:textId="77777777" w:rsidR="008B452E" w:rsidRPr="00B00226" w:rsidRDefault="008B452E" w:rsidP="008B45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14:paraId="127B8D44" w14:textId="77777777" w:rsidR="006456C8" w:rsidRDefault="006456C8" w:rsidP="006456C8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</w:p>
        </w:tc>
      </w:tr>
      <w:tr w:rsidR="006456C8" w14:paraId="2536B418" w14:textId="77777777" w:rsidTr="00585114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67D8" w14:textId="10FA02FA" w:rsidR="006456C8" w:rsidRPr="00B02297" w:rsidRDefault="008F0075" w:rsidP="00B02297">
            <w:pPr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>
              <w:rPr>
                <w:b/>
                <w:bCs/>
                <w:color w:val="00B050"/>
                <w:sz w:val="32"/>
                <w:szCs w:val="32"/>
              </w:rPr>
              <w:t>Fraternidad-</w:t>
            </w:r>
            <w:proofErr w:type="spellStart"/>
            <w:r>
              <w:rPr>
                <w:b/>
                <w:bCs/>
                <w:color w:val="00B050"/>
                <w:sz w:val="32"/>
                <w:szCs w:val="32"/>
              </w:rPr>
              <w:t>Muprespa</w:t>
            </w:r>
            <w:proofErr w:type="spellEnd"/>
            <w:r>
              <w:rPr>
                <w:b/>
                <w:bCs/>
                <w:color w:val="00B050"/>
                <w:sz w:val="32"/>
                <w:szCs w:val="32"/>
              </w:rPr>
              <w:t xml:space="preserve"> premia a A</w:t>
            </w:r>
            <w:r w:rsidR="00B02297">
              <w:rPr>
                <w:b/>
                <w:bCs/>
                <w:color w:val="00B050"/>
                <w:sz w:val="32"/>
                <w:szCs w:val="32"/>
              </w:rPr>
              <w:t>BANCA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, Deloitte, </w:t>
            </w:r>
            <w:r w:rsidRPr="001B23A8">
              <w:rPr>
                <w:b/>
                <w:bCs/>
                <w:color w:val="00B050"/>
                <w:sz w:val="32"/>
                <w:szCs w:val="32"/>
              </w:rPr>
              <w:t>S</w:t>
            </w:r>
            <w:r>
              <w:rPr>
                <w:b/>
                <w:bCs/>
                <w:color w:val="00B050"/>
                <w:sz w:val="32"/>
                <w:szCs w:val="32"/>
              </w:rPr>
              <w:t>age</w:t>
            </w:r>
            <w:r w:rsidR="0035121D"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proofErr w:type="spellStart"/>
            <w:r w:rsidR="0035121D">
              <w:rPr>
                <w:b/>
                <w:bCs/>
                <w:color w:val="00B050"/>
                <w:sz w:val="32"/>
                <w:szCs w:val="32"/>
              </w:rPr>
              <w:t>Spain</w:t>
            </w:r>
            <w:proofErr w:type="spellEnd"/>
            <w:r>
              <w:rPr>
                <w:b/>
                <w:bCs/>
                <w:color w:val="00B050"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bCs/>
                <w:color w:val="00B050"/>
                <w:sz w:val="32"/>
                <w:szCs w:val="32"/>
              </w:rPr>
              <w:t>Teknia</w:t>
            </w:r>
            <w:proofErr w:type="spellEnd"/>
            <w:r>
              <w:rPr>
                <w:b/>
                <w:bCs/>
                <w:color w:val="00B050"/>
                <w:sz w:val="32"/>
                <w:szCs w:val="32"/>
              </w:rPr>
              <w:t xml:space="preserve"> y Valeo por sus prácticas preventivas</w:t>
            </w:r>
          </w:p>
        </w:tc>
      </w:tr>
      <w:tr w:rsidR="006456C8" w14:paraId="44D9C069" w14:textId="77777777" w:rsidTr="00585114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7C267" w14:textId="77777777" w:rsidR="006456C8" w:rsidRDefault="006456C8" w:rsidP="006456C8">
            <w:pPr>
              <w:rPr>
                <w:b/>
                <w:color w:val="00B050"/>
                <w:sz w:val="28"/>
                <w:szCs w:val="28"/>
              </w:rPr>
            </w:pPr>
          </w:p>
        </w:tc>
      </w:tr>
      <w:tr w:rsidR="006456C8" w14:paraId="0E4B1392" w14:textId="77777777" w:rsidTr="00585114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518F" w14:textId="77777777" w:rsidR="006456C8" w:rsidRDefault="006456C8" w:rsidP="006456C8">
            <w:pPr>
              <w:jc w:val="both"/>
              <w:rPr>
                <w:b/>
                <w:bCs/>
                <w:color w:val="FF7F50"/>
              </w:rPr>
            </w:pPr>
          </w:p>
          <w:p w14:paraId="43C0DDD9" w14:textId="6BB1A153" w:rsidR="006456C8" w:rsidRDefault="006456C8" w:rsidP="008B452E">
            <w:pPr>
              <w:pStyle w:val="Prrafodelista"/>
              <w:numPr>
                <w:ilvl w:val="0"/>
                <w:numId w:val="11"/>
              </w:numPr>
              <w:jc w:val="both"/>
            </w:pPr>
            <w:r w:rsidRPr="008B452E">
              <w:rPr>
                <w:b/>
                <w:bCs/>
                <w:color w:val="FF7F50"/>
              </w:rPr>
              <w:t>de abril de 202</w:t>
            </w:r>
            <w:r w:rsidR="008B452E">
              <w:rPr>
                <w:b/>
                <w:bCs/>
                <w:color w:val="FF7F50"/>
              </w:rPr>
              <w:t>6</w:t>
            </w:r>
            <w:r w:rsidRPr="008F09D0">
              <w:t xml:space="preserve"> </w:t>
            </w:r>
          </w:p>
          <w:p w14:paraId="590BB442" w14:textId="77777777" w:rsidR="006456C8" w:rsidRPr="008F09D0" w:rsidRDefault="006456C8" w:rsidP="006456C8">
            <w:pPr>
              <w:jc w:val="both"/>
            </w:pPr>
          </w:p>
          <w:p w14:paraId="7BC4994C" w14:textId="3ADB0B09" w:rsidR="008F0075" w:rsidRDefault="00592EB9" w:rsidP="008F0075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 w:cs="Arial"/>
                <w:b/>
                <w:color w:val="202124"/>
                <w:sz w:val="22"/>
                <w:szCs w:val="22"/>
              </w:rPr>
            </w:pPr>
            <w:r w:rsidRPr="0035121D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En esta edición</w:t>
            </w:r>
            <w:r w:rsidR="008F0075" w:rsidRPr="00F01FD6">
              <w:rPr>
                <w:rFonts w:ascii="Verdana" w:hAnsi="Verdana" w:cs="Arial"/>
                <w:b/>
                <w:color w:val="202124"/>
                <w:sz w:val="22"/>
                <w:szCs w:val="22"/>
                <w:highlight w:val="white"/>
              </w:rPr>
              <w:t xml:space="preserve"> </w:t>
            </w:r>
            <w:r w:rsidR="008F0075" w:rsidRPr="00F01FD6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se han concedido </w:t>
            </w:r>
            <w:r w:rsidR="008F0075" w:rsidRPr="00F01FD6">
              <w:rPr>
                <w:rFonts w:ascii="Verdana" w:hAnsi="Verdana" w:cs="Arial"/>
                <w:b/>
                <w:sz w:val="22"/>
                <w:szCs w:val="22"/>
              </w:rPr>
              <w:t>cinco primeros premios</w:t>
            </w:r>
            <w:r w:rsidR="008F0075" w:rsidRPr="00F01FD6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, diez menciones de honor y dos premios extraordinarios, </w:t>
            </w:r>
            <w:r w:rsidR="008F0075" w:rsidRPr="00F01FD6">
              <w:rPr>
                <w:rFonts w:ascii="Verdana" w:hAnsi="Verdana" w:cs="Arial"/>
                <w:b/>
                <w:sz w:val="22"/>
                <w:szCs w:val="22"/>
              </w:rPr>
              <w:t>a Carme Valls</w:t>
            </w:r>
            <w:r w:rsidR="008F0075">
              <w:rPr>
                <w:rFonts w:ascii="Verdana" w:hAnsi="Verdana" w:cs="Arial"/>
                <w:b/>
                <w:sz w:val="22"/>
                <w:szCs w:val="22"/>
              </w:rPr>
              <w:t xml:space="preserve"> Llobet</w:t>
            </w:r>
            <w:r w:rsidR="008F0075" w:rsidRPr="00F01FD6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 y </w:t>
            </w:r>
            <w:r w:rsidR="008F0075" w:rsidRPr="00F01FD6">
              <w:rPr>
                <w:rFonts w:ascii="Verdana" w:hAnsi="Verdana" w:cs="Arial"/>
                <w:b/>
                <w:sz w:val="22"/>
                <w:szCs w:val="22"/>
              </w:rPr>
              <w:t>a</w:t>
            </w:r>
            <w:r w:rsidR="008F0075">
              <w:rPr>
                <w:rFonts w:ascii="Verdana" w:hAnsi="Verdana" w:cs="Arial"/>
                <w:b/>
                <w:sz w:val="22"/>
                <w:szCs w:val="22"/>
              </w:rPr>
              <w:t>l Instituto Biomecánico de Valencia</w:t>
            </w:r>
          </w:p>
          <w:p w14:paraId="66FBB99F" w14:textId="77777777" w:rsidR="00552B58" w:rsidRPr="00552B58" w:rsidRDefault="00552B58" w:rsidP="00552B58">
            <w:pPr>
              <w:rPr>
                <w:rFonts w:cs="Arial"/>
                <w:b/>
                <w:color w:val="202124"/>
                <w:highlight w:val="yellow"/>
              </w:rPr>
            </w:pPr>
          </w:p>
          <w:p w14:paraId="024C6786" w14:textId="45A18A95" w:rsidR="006456C8" w:rsidRPr="00552B58" w:rsidRDefault="00E645E0" w:rsidP="004275DB">
            <w:pPr>
              <w:pStyle w:val="Prrafodelista"/>
              <w:numPr>
                <w:ilvl w:val="0"/>
                <w:numId w:val="3"/>
              </w:numPr>
              <w:shd w:val="clear" w:color="auto" w:fill="FFFFFF"/>
              <w:jc w:val="both"/>
            </w:pPr>
            <w:r>
              <w:rPr>
                <w:b/>
              </w:rPr>
              <w:t>La entrega se enmarca en la</w:t>
            </w:r>
            <w:r w:rsidR="00E12A0A" w:rsidRPr="00552B58">
              <w:rPr>
                <w:b/>
              </w:rPr>
              <w:t xml:space="preserve"> </w:t>
            </w:r>
            <w:r w:rsidR="00552B58">
              <w:rPr>
                <w:b/>
              </w:rPr>
              <w:t xml:space="preserve">XI </w:t>
            </w:r>
            <w:r w:rsidR="00E12A0A" w:rsidRPr="00552B58">
              <w:rPr>
                <w:b/>
              </w:rPr>
              <w:t xml:space="preserve">Semana de la Prevención, </w:t>
            </w:r>
            <w:r w:rsidR="00E12A0A" w:rsidRPr="00552B58">
              <w:rPr>
                <w:rFonts w:eastAsia="Times New Roman"/>
                <w:b/>
                <w:bCs/>
              </w:rPr>
              <w:t>con el lema “</w:t>
            </w:r>
            <w:r w:rsidR="00552B58">
              <w:rPr>
                <w:rFonts w:eastAsia="Times New Roman"/>
                <w:b/>
                <w:bCs/>
              </w:rPr>
              <w:t>Seguridad Circular, el compromiso de todos</w:t>
            </w:r>
            <w:r w:rsidR="00DB606A">
              <w:rPr>
                <w:rFonts w:eastAsia="Times New Roman"/>
                <w:b/>
                <w:bCs/>
              </w:rPr>
              <w:t>”</w:t>
            </w:r>
            <w:r w:rsidR="008A7CA8" w:rsidRPr="00552B58">
              <w:rPr>
                <w:rFonts w:eastAsia="Times New Roman"/>
                <w:b/>
                <w:bCs/>
              </w:rPr>
              <w:t>, organizada con motivo de la celebración del 28 de abril</w:t>
            </w:r>
            <w:r w:rsidR="00592EB9">
              <w:rPr>
                <w:rFonts w:eastAsia="Times New Roman"/>
                <w:b/>
                <w:bCs/>
              </w:rPr>
              <w:t>,</w:t>
            </w:r>
            <w:r w:rsidR="008A7CA8" w:rsidRPr="00552B58">
              <w:rPr>
                <w:rFonts w:eastAsia="Times New Roman"/>
                <w:b/>
                <w:bCs/>
              </w:rPr>
              <w:t xml:space="preserve"> Día Mundial de la Seguridad y Salud en el Trabajo</w:t>
            </w:r>
            <w:r w:rsidR="00E12A0A" w:rsidRPr="00552B58">
              <w:rPr>
                <w:b/>
              </w:rPr>
              <w:t xml:space="preserve"> </w:t>
            </w:r>
          </w:p>
          <w:p w14:paraId="482C41FE" w14:textId="77777777" w:rsidR="00E12A0A" w:rsidRDefault="00E12A0A" w:rsidP="00E12A0A">
            <w:pPr>
              <w:pStyle w:val="Prrafodelista"/>
            </w:pPr>
          </w:p>
          <w:p w14:paraId="64EC7D99" w14:textId="530D1D7A" w:rsidR="006456C8" w:rsidRDefault="008B452E" w:rsidP="006456C8">
            <w:pPr>
              <w:jc w:val="both"/>
            </w:pPr>
            <w:r>
              <w:t xml:space="preserve">El salón de actos del Hospital </w:t>
            </w:r>
            <w:r w:rsidR="006456C8" w:rsidRPr="00C777E6">
              <w:t>Fraternidad-</w:t>
            </w:r>
            <w:proofErr w:type="spellStart"/>
            <w:r w:rsidR="006456C8" w:rsidRPr="00C777E6">
              <w:t>Muprespa</w:t>
            </w:r>
            <w:proofErr w:type="spellEnd"/>
            <w:r w:rsidR="006456C8" w:rsidRPr="00C777E6">
              <w:t xml:space="preserve"> Habana</w:t>
            </w:r>
            <w:r>
              <w:t xml:space="preserve"> acogió e</w:t>
            </w:r>
            <w:r w:rsidR="00DB606A">
              <w:t>ste</w:t>
            </w:r>
            <w:r>
              <w:t xml:space="preserve"> lunes la </w:t>
            </w:r>
            <w:r w:rsidR="006456C8" w:rsidRPr="00C777E6">
              <w:t>X</w:t>
            </w:r>
            <w:r>
              <w:t>I</w:t>
            </w:r>
            <w:r w:rsidR="006456C8" w:rsidRPr="00C777E6">
              <w:t xml:space="preserve"> edición de </w:t>
            </w:r>
            <w:r>
              <w:t xml:space="preserve">los </w:t>
            </w:r>
            <w:r w:rsidR="005D5E5B">
              <w:t>P</w:t>
            </w:r>
            <w:r w:rsidR="006456C8" w:rsidRPr="00C777E6">
              <w:t>remios</w:t>
            </w:r>
            <w:r>
              <w:t xml:space="preserve"> Escolástico Zaldívar,</w:t>
            </w:r>
            <w:r w:rsidR="006456C8" w:rsidRPr="00C777E6">
              <w:t xml:space="preserve"> dedicados a la promoción de la seguridad y la salud en el trabajo</w:t>
            </w:r>
            <w:r>
              <w:t xml:space="preserve">, en la que </w:t>
            </w:r>
            <w:r w:rsidRPr="005845DA">
              <w:rPr>
                <w:b/>
                <w:bCs/>
              </w:rPr>
              <w:t>se ha reconocido a 15 empresas mutualistas</w:t>
            </w:r>
            <w:r>
              <w:t xml:space="preserve"> por </w:t>
            </w:r>
            <w:r w:rsidR="001859C1">
              <w:t xml:space="preserve">sus iniciativas orientadas a </w:t>
            </w:r>
            <w:r w:rsidR="005D5E5B">
              <w:t xml:space="preserve">fomentar </w:t>
            </w:r>
            <w:r w:rsidR="00820F84">
              <w:t>la</w:t>
            </w:r>
            <w:r w:rsidR="005D5E5B">
              <w:t xml:space="preserve"> cultura preventiva.</w:t>
            </w:r>
            <w:r w:rsidR="000967A5">
              <w:t xml:space="preserve"> </w:t>
            </w:r>
          </w:p>
          <w:p w14:paraId="7429638E" w14:textId="72DD37E4" w:rsidR="00362670" w:rsidRDefault="00362670" w:rsidP="006456C8">
            <w:pPr>
              <w:jc w:val="both"/>
            </w:pPr>
          </w:p>
          <w:p w14:paraId="2BB62907" w14:textId="373FE0C8" w:rsidR="00362670" w:rsidRDefault="00362670" w:rsidP="006456C8">
            <w:pPr>
              <w:jc w:val="both"/>
            </w:pPr>
            <w:r w:rsidRPr="00946D38">
              <w:rPr>
                <w:b/>
              </w:rPr>
              <w:t>José María García Tomás</w:t>
            </w:r>
            <w:r w:rsidRPr="008D53E8">
              <w:rPr>
                <w:bCs/>
              </w:rPr>
              <w:t xml:space="preserve">, </w:t>
            </w:r>
            <w:r w:rsidRPr="00362670">
              <w:t>director de RR.HH. del Real Madrid</w:t>
            </w:r>
            <w:r w:rsidR="006B0E47">
              <w:t xml:space="preserve">, </w:t>
            </w:r>
            <w:r w:rsidR="006B0E47" w:rsidRPr="005845DA">
              <w:rPr>
                <w:b/>
                <w:bCs/>
              </w:rPr>
              <w:t>miembro de la Junta Directiva</w:t>
            </w:r>
            <w:r w:rsidR="00592EB9">
              <w:rPr>
                <w:b/>
                <w:bCs/>
              </w:rPr>
              <w:t xml:space="preserve"> </w:t>
            </w:r>
            <w:r w:rsidR="00592EB9" w:rsidRPr="0035121D">
              <w:rPr>
                <w:b/>
                <w:bCs/>
              </w:rPr>
              <w:t>de Fraternidad-</w:t>
            </w:r>
            <w:proofErr w:type="spellStart"/>
            <w:r w:rsidR="00592EB9" w:rsidRPr="0035121D">
              <w:rPr>
                <w:b/>
                <w:bCs/>
              </w:rPr>
              <w:t>Muprespa</w:t>
            </w:r>
            <w:proofErr w:type="spellEnd"/>
            <w:r w:rsidRPr="005845DA">
              <w:rPr>
                <w:b/>
                <w:bCs/>
              </w:rPr>
              <w:t xml:space="preserve"> y presidente del jurado</w:t>
            </w:r>
            <w:r w:rsidRPr="008D53E8">
              <w:rPr>
                <w:bCs/>
              </w:rPr>
              <w:t xml:space="preserve">, </w:t>
            </w:r>
            <w:r>
              <w:rPr>
                <w:bCs/>
              </w:rPr>
              <w:t xml:space="preserve">inauguró la ceremonia </w:t>
            </w:r>
            <w:r w:rsidR="004D24D1">
              <w:rPr>
                <w:bCs/>
              </w:rPr>
              <w:t xml:space="preserve">destacando que </w:t>
            </w:r>
            <w:r w:rsidR="004D24D1" w:rsidRPr="005845DA">
              <w:t>“los Premios Escolástico Zaldívar son ya una cita consolidada que reconoce el compromiso real de nuestras empresas con la prevención de riesgos laborales</w:t>
            </w:r>
            <w:r w:rsidR="006B0E47" w:rsidRPr="005845DA">
              <w:t>”</w:t>
            </w:r>
            <w:r w:rsidR="0009356C" w:rsidRPr="005845DA">
              <w:t xml:space="preserve">. </w:t>
            </w:r>
            <w:r w:rsidR="0009356C">
              <w:t xml:space="preserve">Asimismo, subrayó la excelente calidad de las </w:t>
            </w:r>
            <w:r w:rsidR="001318E5">
              <w:t>candidaturas,</w:t>
            </w:r>
            <w:r w:rsidR="001318E5" w:rsidRPr="005845DA">
              <w:t xml:space="preserve"> “reflejo</w:t>
            </w:r>
            <w:r w:rsidR="004D24D1" w:rsidRPr="005845DA">
              <w:t xml:space="preserve"> del momento de madurez, innovación y conciencia que vive la prevención en nuestro país</w:t>
            </w:r>
            <w:r w:rsidR="006B0E47" w:rsidRPr="005845DA">
              <w:t>. El futuro se construye desde la innovación y la capacidad de adelantarse a los retos</w:t>
            </w:r>
            <w:r w:rsidR="004D24D1" w:rsidRPr="005845DA">
              <w:t>”.</w:t>
            </w:r>
          </w:p>
          <w:p w14:paraId="6CD6B9D9" w14:textId="77777777" w:rsidR="00C777E6" w:rsidRPr="00C777E6" w:rsidRDefault="00C777E6" w:rsidP="00C777E6">
            <w:pPr>
              <w:suppressAutoHyphens/>
              <w:jc w:val="both"/>
            </w:pPr>
          </w:p>
          <w:p w14:paraId="018F0039" w14:textId="28B2B7CA" w:rsidR="002D73E8" w:rsidRDefault="00C777E6" w:rsidP="001859C1">
            <w:pPr>
              <w:suppressAutoHyphens/>
              <w:jc w:val="both"/>
            </w:pPr>
            <w:r w:rsidRPr="00C777E6">
              <w:rPr>
                <w:b/>
              </w:rPr>
              <w:t xml:space="preserve">Natalia </w:t>
            </w:r>
            <w:r w:rsidR="005D5E5B">
              <w:rPr>
                <w:b/>
              </w:rPr>
              <w:t>Fernández</w:t>
            </w:r>
            <w:r w:rsidRPr="00C777E6">
              <w:rPr>
                <w:b/>
              </w:rPr>
              <w:t xml:space="preserve"> Laviada</w:t>
            </w:r>
            <w:r w:rsidRPr="00C777E6">
              <w:t xml:space="preserve">, subdirectora </w:t>
            </w:r>
            <w:r w:rsidR="00B02297" w:rsidRPr="0035121D">
              <w:t>G</w:t>
            </w:r>
            <w:r w:rsidRPr="00C777E6">
              <w:t>eneral de Prevención, Calidad y Comunicación de la Mutua</w:t>
            </w:r>
            <w:r w:rsidR="00820F84">
              <w:t xml:space="preserve"> </w:t>
            </w:r>
            <w:r w:rsidRPr="00C777E6">
              <w:t>fue</w:t>
            </w:r>
            <w:r w:rsidR="00592EB9">
              <w:t>,</w:t>
            </w:r>
            <w:r w:rsidR="005845DA">
              <w:t xml:space="preserve"> un año más,</w:t>
            </w:r>
            <w:r w:rsidRPr="00C777E6">
              <w:t xml:space="preserve"> la encargada de conducir el acto y </w:t>
            </w:r>
            <w:r w:rsidRPr="00B65DAC">
              <w:t xml:space="preserve">presentar a las </w:t>
            </w:r>
            <w:r w:rsidR="00F31700">
              <w:t>entidades</w:t>
            </w:r>
            <w:r w:rsidRPr="00B65DAC">
              <w:t xml:space="preserve"> </w:t>
            </w:r>
            <w:r w:rsidR="00E645E0">
              <w:t>galardonadas</w:t>
            </w:r>
            <w:r w:rsidR="005845DA">
              <w:t xml:space="preserve">: </w:t>
            </w:r>
          </w:p>
          <w:p w14:paraId="3A1A6A78" w14:textId="77777777" w:rsidR="005845DA" w:rsidRDefault="005845DA" w:rsidP="001859C1">
            <w:pPr>
              <w:suppressAutoHyphens/>
              <w:jc w:val="both"/>
            </w:pPr>
          </w:p>
          <w:p w14:paraId="4503FB63" w14:textId="0D5330A0" w:rsidR="002D73E8" w:rsidRDefault="002D73E8" w:rsidP="00570B3F">
            <w:pPr>
              <w:pStyle w:val="Prrafodelista"/>
              <w:numPr>
                <w:ilvl w:val="0"/>
                <w:numId w:val="12"/>
              </w:numPr>
              <w:suppressAutoHyphens/>
              <w:jc w:val="both"/>
            </w:pPr>
            <w:r w:rsidRPr="00E645E0">
              <w:rPr>
                <w:b/>
                <w:bCs/>
              </w:rPr>
              <w:t>A</w:t>
            </w:r>
            <w:r w:rsidR="00592EB9">
              <w:rPr>
                <w:b/>
                <w:bCs/>
              </w:rPr>
              <w:t>BANCA</w:t>
            </w:r>
            <w:r w:rsidR="001859C1" w:rsidRPr="00570B3F">
              <w:t xml:space="preserve">, </w:t>
            </w:r>
            <w:r w:rsidR="00F31700">
              <w:t>por su</w:t>
            </w:r>
            <w:r w:rsidRPr="00570B3F">
              <w:rPr>
                <w:rFonts w:eastAsia="Times New Roman" w:cs="Times New Roman"/>
                <w:lang w:bidi="ar-SA"/>
              </w:rPr>
              <w:t xml:space="preserve"> programa ACTÍVATE</w:t>
            </w:r>
            <w:r w:rsidR="0009356C">
              <w:rPr>
                <w:rFonts w:eastAsia="Times New Roman" w:cs="Times New Roman"/>
                <w:lang w:bidi="ar-SA"/>
              </w:rPr>
              <w:t>,</w:t>
            </w:r>
            <w:r w:rsidR="00570B3F">
              <w:rPr>
                <w:rFonts w:eastAsia="Times New Roman" w:cs="Times New Roman"/>
                <w:lang w:bidi="ar-SA"/>
              </w:rPr>
              <w:t xml:space="preserve"> que</w:t>
            </w:r>
            <w:r w:rsidRPr="00570B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570B3F">
              <w:t>combina actividad física, educación nutricional y gestión emociona</w:t>
            </w:r>
            <w:r w:rsidR="001F74A1">
              <w:t xml:space="preserve">l, </w:t>
            </w:r>
            <w:r w:rsidR="008D53E8">
              <w:t>reduciendo el sedentarismo e índices de tabaquismo</w:t>
            </w:r>
            <w:r w:rsidR="00F31700">
              <w:t xml:space="preserve"> en su plantilla.</w:t>
            </w:r>
          </w:p>
          <w:p w14:paraId="20F71D8E" w14:textId="01C55681" w:rsidR="003A4E50" w:rsidRPr="003A4E50" w:rsidRDefault="003A4E50" w:rsidP="00BF5183">
            <w:pPr>
              <w:pStyle w:val="Prrafodelista"/>
              <w:numPr>
                <w:ilvl w:val="0"/>
                <w:numId w:val="12"/>
              </w:numPr>
              <w:suppressAutoHyphens/>
              <w:jc w:val="both"/>
            </w:pPr>
            <w:r w:rsidRPr="00E645E0">
              <w:rPr>
                <w:b/>
                <w:bCs/>
              </w:rPr>
              <w:t>Deloitte</w:t>
            </w:r>
            <w:r>
              <w:t xml:space="preserve">, </w:t>
            </w:r>
            <w:r w:rsidR="0009356C">
              <w:t>por el desarrollo de un</w:t>
            </w:r>
            <w:r>
              <w:t xml:space="preserve"> sistema</w:t>
            </w:r>
            <w:r w:rsidRPr="003A4E50">
              <w:t xml:space="preserve"> pionero basado en medicina de precisión</w:t>
            </w:r>
            <w:r w:rsidR="00820F84">
              <w:t xml:space="preserve"> </w:t>
            </w:r>
            <w:r w:rsidRPr="003A4E50">
              <w:t>para personalizar tratamientos y anticipar reacciones adversas</w:t>
            </w:r>
            <w:r>
              <w:t>, permitiendo adaptar la medicación a cada persona</w:t>
            </w:r>
            <w:r w:rsidR="001F74A1">
              <w:t>.</w:t>
            </w:r>
          </w:p>
          <w:p w14:paraId="4145E209" w14:textId="25D56543" w:rsidR="001F74A1" w:rsidRDefault="003A4E50" w:rsidP="001F74A1">
            <w:pPr>
              <w:pStyle w:val="Prrafodelista"/>
              <w:numPr>
                <w:ilvl w:val="0"/>
                <w:numId w:val="12"/>
              </w:numPr>
              <w:suppressAutoHyphens/>
              <w:jc w:val="both"/>
            </w:pPr>
            <w:r w:rsidRPr="00E645E0">
              <w:rPr>
                <w:b/>
                <w:bCs/>
              </w:rPr>
              <w:t xml:space="preserve">Sage </w:t>
            </w:r>
            <w:proofErr w:type="spellStart"/>
            <w:r w:rsidRPr="0035121D">
              <w:rPr>
                <w:b/>
                <w:bCs/>
              </w:rPr>
              <w:t>Spai</w:t>
            </w:r>
            <w:r w:rsidR="00D31BC4" w:rsidRPr="0035121D">
              <w:rPr>
                <w:b/>
                <w:bCs/>
              </w:rPr>
              <w:t>n</w:t>
            </w:r>
            <w:proofErr w:type="spellEnd"/>
            <w:r w:rsidR="00D31BC4">
              <w:t xml:space="preserve">, por la creación de un entorno laboral accesible, inclusivo y orientado al bienestar, </w:t>
            </w:r>
            <w:r w:rsidR="0009356C">
              <w:t>con</w:t>
            </w:r>
            <w:r w:rsidR="00D31BC4">
              <w:t xml:space="preserve"> un diseño ergonómico avanzado y servicios de apoyo</w:t>
            </w:r>
            <w:r w:rsidR="0009356C">
              <w:t xml:space="preserve"> </w:t>
            </w:r>
            <w:r w:rsidR="0084395B">
              <w:t>psicológico 24</w:t>
            </w:r>
            <w:r w:rsidR="00592EB9">
              <w:t xml:space="preserve"> horas</w:t>
            </w:r>
            <w:r w:rsidR="0084395B">
              <w:t xml:space="preserve"> </w:t>
            </w:r>
            <w:r w:rsidR="0009356C">
              <w:t>que contribuyen a reducir</w:t>
            </w:r>
            <w:r w:rsidR="00D31BC4">
              <w:t xml:space="preserve"> el absentismo.</w:t>
            </w:r>
          </w:p>
          <w:p w14:paraId="140103EA" w14:textId="134811B8" w:rsidR="00E645E0" w:rsidRDefault="00D31BC4" w:rsidP="00E645E0">
            <w:pPr>
              <w:pStyle w:val="Prrafodelista"/>
              <w:numPr>
                <w:ilvl w:val="0"/>
                <w:numId w:val="12"/>
              </w:numPr>
              <w:suppressAutoHyphens/>
              <w:jc w:val="both"/>
            </w:pPr>
            <w:proofErr w:type="spellStart"/>
            <w:r w:rsidRPr="00E645E0">
              <w:rPr>
                <w:b/>
                <w:bCs/>
              </w:rPr>
              <w:t>Teknia</w:t>
            </w:r>
            <w:proofErr w:type="spellEnd"/>
            <w:r w:rsidR="00820F84">
              <w:rPr>
                <w:b/>
                <w:bCs/>
              </w:rPr>
              <w:t xml:space="preserve">, </w:t>
            </w:r>
            <w:r w:rsidR="00F31700" w:rsidRPr="00F31700">
              <w:t>por</w:t>
            </w:r>
            <w:r w:rsidR="00F31700">
              <w:rPr>
                <w:b/>
                <w:bCs/>
              </w:rPr>
              <w:t xml:space="preserve"> </w:t>
            </w:r>
            <w:r w:rsidR="00FC56F8">
              <w:t>su</w:t>
            </w:r>
            <w:r w:rsidR="001F74A1">
              <w:t xml:space="preserve"> </w:t>
            </w:r>
            <w:r w:rsidR="00FC56F8">
              <w:t xml:space="preserve">modelo </w:t>
            </w:r>
            <w:r>
              <w:t>avanzado de seguridad en maquinaria para eliminar accidentes derivados del fallo humano o manipulación indebida</w:t>
            </w:r>
            <w:r w:rsidR="001F74A1">
              <w:t>, logrando una reducción real de accidentes potencialmente graves.</w:t>
            </w:r>
          </w:p>
          <w:p w14:paraId="3E586A36" w14:textId="77777777" w:rsidR="005845DA" w:rsidRDefault="005845DA" w:rsidP="005845DA">
            <w:pPr>
              <w:pStyle w:val="Prrafodelista"/>
              <w:suppressAutoHyphens/>
              <w:ind w:left="720" w:firstLine="0"/>
              <w:jc w:val="both"/>
            </w:pPr>
          </w:p>
          <w:p w14:paraId="5D414045" w14:textId="77777777" w:rsidR="005845DA" w:rsidRDefault="005845DA" w:rsidP="005845DA">
            <w:pPr>
              <w:pStyle w:val="Prrafodelista"/>
              <w:suppressAutoHyphens/>
              <w:ind w:left="720" w:firstLine="0"/>
              <w:jc w:val="both"/>
            </w:pPr>
          </w:p>
          <w:p w14:paraId="6F254E39" w14:textId="64D03F70" w:rsidR="00D31BC4" w:rsidRDefault="00D31BC4" w:rsidP="00D31BC4">
            <w:pPr>
              <w:pStyle w:val="Prrafodelista"/>
              <w:numPr>
                <w:ilvl w:val="0"/>
                <w:numId w:val="12"/>
              </w:numPr>
              <w:suppressAutoHyphens/>
              <w:jc w:val="both"/>
            </w:pPr>
            <w:r w:rsidRPr="00E645E0">
              <w:rPr>
                <w:b/>
                <w:bCs/>
              </w:rPr>
              <w:t>Valeo</w:t>
            </w:r>
            <w:r>
              <w:t xml:space="preserve">, </w:t>
            </w:r>
            <w:r w:rsidR="001F74A1">
              <w:t>por su</w:t>
            </w:r>
            <w:r w:rsidR="00FC56F8">
              <w:t xml:space="preserve"> </w:t>
            </w:r>
            <w:r w:rsidR="00F31700">
              <w:t xml:space="preserve">solución tecnológica de </w:t>
            </w:r>
            <w:r>
              <w:t>evaluación ergonómica</w:t>
            </w:r>
            <w:r w:rsidR="001F74A1">
              <w:t xml:space="preserve"> </w:t>
            </w:r>
            <w:r w:rsidR="00F31700">
              <w:t xml:space="preserve">con </w:t>
            </w:r>
            <w:r w:rsidR="00592EB9" w:rsidRPr="0035121D">
              <w:t>i</w:t>
            </w:r>
            <w:r w:rsidRPr="0035121D">
              <w:t xml:space="preserve">nteligencia </w:t>
            </w:r>
            <w:r w:rsidR="00592EB9" w:rsidRPr="0035121D">
              <w:t>a</w:t>
            </w:r>
            <w:r w:rsidRPr="0035121D">
              <w:t>rtificial, basad</w:t>
            </w:r>
            <w:r w:rsidR="00820F84" w:rsidRPr="0035121D">
              <w:t>a</w:t>
            </w:r>
            <w:r w:rsidRPr="0035121D">
              <w:t xml:space="preserve"> </w:t>
            </w:r>
            <w:r w:rsidR="00592EB9" w:rsidRPr="0035121D">
              <w:t>en</w:t>
            </w:r>
            <w:r w:rsidR="00592EB9">
              <w:t xml:space="preserve"> </w:t>
            </w:r>
            <w:r>
              <w:t>captura</w:t>
            </w:r>
            <w:r w:rsidR="00820F84">
              <w:t xml:space="preserve">r </w:t>
            </w:r>
            <w:r>
              <w:t>movimiento y genera</w:t>
            </w:r>
            <w:r w:rsidR="00820F84">
              <w:t>r</w:t>
            </w:r>
            <w:r>
              <w:t xml:space="preserve"> avatares para analizar posturas, esfuerzos y biomecánica en tiempo real</w:t>
            </w:r>
            <w:r w:rsidR="00820F84">
              <w:t>, permitiendo</w:t>
            </w:r>
            <w:r>
              <w:t xml:space="preserve"> identificar riesgos musculoesqueléticos.</w:t>
            </w:r>
          </w:p>
          <w:p w14:paraId="48D9BCA3" w14:textId="77777777" w:rsidR="003A4E50" w:rsidRDefault="003A4E50" w:rsidP="003A4E50">
            <w:pPr>
              <w:suppressAutoHyphens/>
              <w:jc w:val="both"/>
            </w:pPr>
          </w:p>
          <w:p w14:paraId="7A9BE02C" w14:textId="39FEE2DD" w:rsidR="001859C1" w:rsidRDefault="001859C1" w:rsidP="001859C1">
            <w:pPr>
              <w:suppressAutoHyphens/>
              <w:jc w:val="both"/>
              <w:rPr>
                <w:b/>
                <w:bCs/>
              </w:rPr>
            </w:pPr>
            <w:r>
              <w:t>Las</w:t>
            </w:r>
            <w:r w:rsidR="004E32FD">
              <w:t xml:space="preserve"> </w:t>
            </w:r>
            <w:r w:rsidR="00592EB9" w:rsidRPr="0035121D">
              <w:t>diez</w:t>
            </w:r>
            <w:r w:rsidR="00592EB9">
              <w:t xml:space="preserve"> </w:t>
            </w:r>
            <w:r w:rsidRPr="00E645E0">
              <w:rPr>
                <w:b/>
                <w:bCs/>
              </w:rPr>
              <w:t>menciones de honor</w:t>
            </w:r>
            <w:r>
              <w:t xml:space="preserve"> r</w:t>
            </w:r>
            <w:r w:rsidR="00D31BC4">
              <w:t>e</w:t>
            </w:r>
            <w:r>
              <w:t>cayeron en:</w:t>
            </w:r>
            <w:r w:rsidR="005D5E5B">
              <w:t xml:space="preserve"> </w:t>
            </w:r>
            <w:proofErr w:type="spellStart"/>
            <w:r w:rsidR="008D53E8" w:rsidRPr="00E645E0">
              <w:rPr>
                <w:rStyle w:val="whitespace-normal"/>
                <w:b/>
                <w:bCs/>
              </w:rPr>
              <w:t>Alapont</w:t>
            </w:r>
            <w:proofErr w:type="spellEnd"/>
            <w:r w:rsidR="008D53E8" w:rsidRPr="00E645E0">
              <w:rPr>
                <w:rStyle w:val="whitespace-normal"/>
                <w:b/>
                <w:bCs/>
              </w:rPr>
              <w:t xml:space="preserve"> Global</w:t>
            </w:r>
            <w:r w:rsidR="008D53E8" w:rsidRPr="00E645E0">
              <w:rPr>
                <w:b/>
                <w:bCs/>
              </w:rPr>
              <w:t xml:space="preserve">, </w:t>
            </w:r>
            <w:proofErr w:type="spellStart"/>
            <w:r w:rsidR="008D53E8" w:rsidRPr="00E645E0">
              <w:rPr>
                <w:rStyle w:val="whitespace-normal"/>
                <w:b/>
                <w:bCs/>
              </w:rPr>
              <w:t>Contactel</w:t>
            </w:r>
            <w:proofErr w:type="spellEnd"/>
            <w:r w:rsidR="0084395B">
              <w:rPr>
                <w:rStyle w:val="whitespace-normal"/>
              </w:rPr>
              <w:t xml:space="preserve"> </w:t>
            </w:r>
            <w:r w:rsidR="0084395B" w:rsidRPr="0084395B">
              <w:rPr>
                <w:rStyle w:val="whitespace-normal"/>
                <w:b/>
                <w:bCs/>
              </w:rPr>
              <w:t xml:space="preserve">(Grupo </w:t>
            </w:r>
            <w:proofErr w:type="spellStart"/>
            <w:r w:rsidR="0084395B" w:rsidRPr="0084395B">
              <w:rPr>
                <w:rStyle w:val="whitespace-normal"/>
                <w:b/>
                <w:bCs/>
              </w:rPr>
              <w:t>Inetel</w:t>
            </w:r>
            <w:proofErr w:type="spellEnd"/>
            <w:r w:rsidR="0084395B" w:rsidRPr="0084395B">
              <w:rPr>
                <w:rStyle w:val="whitespace-normal"/>
                <w:b/>
                <w:bCs/>
              </w:rPr>
              <w:t>)</w:t>
            </w:r>
            <w:r w:rsidR="0084395B">
              <w:rPr>
                <w:rStyle w:val="whitespace-normal"/>
              </w:rPr>
              <w:t xml:space="preserve">, </w:t>
            </w:r>
            <w:proofErr w:type="spellStart"/>
            <w:r w:rsidR="008D53E8" w:rsidRPr="00E645E0">
              <w:rPr>
                <w:rStyle w:val="whitespace-normal"/>
                <w:b/>
                <w:bCs/>
              </w:rPr>
              <w:t>Ence</w:t>
            </w:r>
            <w:proofErr w:type="spellEnd"/>
            <w:r w:rsidR="008D53E8" w:rsidRPr="00E645E0">
              <w:rPr>
                <w:rStyle w:val="whitespace-normal"/>
                <w:b/>
                <w:bCs/>
              </w:rPr>
              <w:t xml:space="preserve"> Energía y Celulosa</w:t>
            </w:r>
            <w:r w:rsidR="008D53E8" w:rsidRPr="00E645E0">
              <w:rPr>
                <w:b/>
                <w:bCs/>
              </w:rPr>
              <w:t xml:space="preserve">, </w:t>
            </w:r>
            <w:proofErr w:type="spellStart"/>
            <w:r w:rsidR="008D53E8" w:rsidRPr="00E645E0">
              <w:rPr>
                <w:rStyle w:val="whitespace-normal"/>
                <w:b/>
                <w:bCs/>
              </w:rPr>
              <w:t>Faramax</w:t>
            </w:r>
            <w:proofErr w:type="spellEnd"/>
            <w:r w:rsidR="008D53E8" w:rsidRPr="00E645E0">
              <w:rPr>
                <w:rStyle w:val="whitespace-normal"/>
                <w:b/>
                <w:bCs/>
              </w:rPr>
              <w:t xml:space="preserve"> </w:t>
            </w:r>
            <w:proofErr w:type="spellStart"/>
            <w:r w:rsidR="008D53E8" w:rsidRPr="00E645E0">
              <w:rPr>
                <w:rStyle w:val="whitespace-normal"/>
                <w:b/>
                <w:bCs/>
              </w:rPr>
              <w:t>Trafo</w:t>
            </w:r>
            <w:proofErr w:type="spellEnd"/>
            <w:r w:rsidR="008D53E8" w:rsidRPr="00E645E0">
              <w:rPr>
                <w:b/>
                <w:bCs/>
              </w:rPr>
              <w:t xml:space="preserve">, </w:t>
            </w:r>
            <w:r w:rsidR="008D53E8" w:rsidRPr="00E645E0">
              <w:rPr>
                <w:rStyle w:val="whitespace-normal"/>
                <w:b/>
                <w:bCs/>
              </w:rPr>
              <w:t xml:space="preserve">Grupo </w:t>
            </w:r>
            <w:proofErr w:type="spellStart"/>
            <w:r w:rsidR="008D53E8" w:rsidRPr="00E645E0">
              <w:rPr>
                <w:rStyle w:val="whitespace-normal"/>
                <w:b/>
                <w:bCs/>
              </w:rPr>
              <w:t>Anro</w:t>
            </w:r>
            <w:proofErr w:type="spellEnd"/>
            <w:r w:rsidR="008D53E8" w:rsidRPr="00E645E0">
              <w:rPr>
                <w:b/>
                <w:bCs/>
              </w:rPr>
              <w:t xml:space="preserve">, </w:t>
            </w:r>
            <w:r w:rsidR="008D53E8" w:rsidRPr="00E645E0">
              <w:rPr>
                <w:rStyle w:val="whitespace-normal"/>
                <w:b/>
                <w:bCs/>
              </w:rPr>
              <w:t xml:space="preserve">Grupo </w:t>
            </w:r>
            <w:proofErr w:type="spellStart"/>
            <w:r w:rsidR="008D53E8" w:rsidRPr="00E645E0">
              <w:rPr>
                <w:rStyle w:val="whitespace-normal"/>
                <w:b/>
                <w:bCs/>
              </w:rPr>
              <w:t>Inmeva</w:t>
            </w:r>
            <w:proofErr w:type="spellEnd"/>
            <w:r w:rsidR="008D53E8" w:rsidRPr="00E645E0">
              <w:rPr>
                <w:b/>
                <w:bCs/>
              </w:rPr>
              <w:t xml:space="preserve">, </w:t>
            </w:r>
            <w:r w:rsidR="008D53E8" w:rsidRPr="00E645E0">
              <w:rPr>
                <w:rStyle w:val="whitespace-normal"/>
                <w:b/>
                <w:bCs/>
              </w:rPr>
              <w:t>Industrias Cárnicas de Navarra</w:t>
            </w:r>
            <w:r w:rsidR="0084395B">
              <w:rPr>
                <w:rStyle w:val="whitespace-normal"/>
                <w:b/>
                <w:bCs/>
              </w:rPr>
              <w:t xml:space="preserve"> </w:t>
            </w:r>
            <w:r w:rsidR="0084395B" w:rsidRPr="0084395B">
              <w:rPr>
                <w:rStyle w:val="whitespace-normal"/>
                <w:b/>
                <w:bCs/>
              </w:rPr>
              <w:t xml:space="preserve">(Grupo </w:t>
            </w:r>
            <w:proofErr w:type="spellStart"/>
            <w:r w:rsidR="0084395B" w:rsidRPr="0084395B">
              <w:rPr>
                <w:rStyle w:val="whitespace-normal"/>
                <w:b/>
                <w:bCs/>
              </w:rPr>
              <w:t>Argal</w:t>
            </w:r>
            <w:proofErr w:type="spellEnd"/>
            <w:r w:rsidR="0084395B" w:rsidRPr="0084395B">
              <w:rPr>
                <w:rStyle w:val="whitespace-normal"/>
                <w:b/>
                <w:bCs/>
              </w:rPr>
              <w:t>)</w:t>
            </w:r>
            <w:r w:rsidR="008D53E8" w:rsidRPr="0084395B">
              <w:rPr>
                <w:b/>
                <w:bCs/>
              </w:rPr>
              <w:t>,</w:t>
            </w:r>
            <w:r w:rsidR="008D53E8" w:rsidRPr="00E645E0">
              <w:rPr>
                <w:b/>
                <w:bCs/>
              </w:rPr>
              <w:t xml:space="preserve"> </w:t>
            </w:r>
            <w:r w:rsidR="008D53E8" w:rsidRPr="00E645E0">
              <w:rPr>
                <w:rStyle w:val="whitespace-normal"/>
                <w:b/>
                <w:bCs/>
              </w:rPr>
              <w:t>Técnicas e Instalaciones Eléctricas Salamanca</w:t>
            </w:r>
            <w:r w:rsidR="008D53E8" w:rsidRPr="00E645E0">
              <w:rPr>
                <w:b/>
                <w:bCs/>
              </w:rPr>
              <w:t xml:space="preserve">, </w:t>
            </w:r>
            <w:proofErr w:type="spellStart"/>
            <w:r w:rsidR="008D53E8" w:rsidRPr="00E645E0">
              <w:rPr>
                <w:rStyle w:val="whitespace-normal"/>
                <w:b/>
                <w:bCs/>
              </w:rPr>
              <w:t>Torraspapel</w:t>
            </w:r>
            <w:proofErr w:type="spellEnd"/>
            <w:r w:rsidR="008D53E8" w:rsidRPr="00E645E0">
              <w:rPr>
                <w:b/>
                <w:bCs/>
              </w:rPr>
              <w:t xml:space="preserve"> y </w:t>
            </w:r>
            <w:proofErr w:type="spellStart"/>
            <w:r w:rsidR="008D53E8" w:rsidRPr="00E645E0">
              <w:rPr>
                <w:rStyle w:val="whitespace-normal"/>
                <w:b/>
                <w:bCs/>
              </w:rPr>
              <w:t>Zelestra</w:t>
            </w:r>
            <w:proofErr w:type="spellEnd"/>
            <w:r w:rsidR="008D53E8" w:rsidRPr="00E645E0">
              <w:rPr>
                <w:b/>
                <w:bCs/>
              </w:rPr>
              <w:t>.</w:t>
            </w:r>
          </w:p>
          <w:p w14:paraId="0993164F" w14:textId="2E72F44D" w:rsidR="005845DA" w:rsidRDefault="005845DA" w:rsidP="001859C1">
            <w:pPr>
              <w:suppressAutoHyphens/>
              <w:jc w:val="both"/>
              <w:rPr>
                <w:b/>
                <w:bCs/>
              </w:rPr>
            </w:pPr>
          </w:p>
          <w:p w14:paraId="442A42A2" w14:textId="0E775019" w:rsidR="004F47ED" w:rsidRDefault="00C164D4" w:rsidP="008D53E8">
            <w:pPr>
              <w:jc w:val="both"/>
            </w:pPr>
            <w:r w:rsidRPr="00C164D4">
              <w:rPr>
                <w:rStyle w:val="Textoennegrita"/>
                <w:b w:val="0"/>
                <w:bCs w:val="0"/>
              </w:rPr>
              <w:t>Se trata de</w:t>
            </w:r>
            <w:r>
              <w:rPr>
                <w:rStyle w:val="Textoennegrita"/>
              </w:rPr>
              <w:t xml:space="preserve"> empresas repartidas por toda la geografía española</w:t>
            </w:r>
            <w:r w:rsidRPr="00C164D4">
              <w:rPr>
                <w:rStyle w:val="Textoennegrita"/>
                <w:b w:val="0"/>
                <w:bCs w:val="0"/>
              </w:rPr>
              <w:t>, tanto grandes corporaciones como pequeñas y medianas</w:t>
            </w:r>
            <w:r w:rsidR="00BA51E8">
              <w:rPr>
                <w:rStyle w:val="Textoennegrita"/>
                <w:b w:val="0"/>
                <w:bCs w:val="0"/>
              </w:rPr>
              <w:t xml:space="preserve">, </w:t>
            </w:r>
            <w:r w:rsidR="000C095B">
              <w:t xml:space="preserve">de muy </w:t>
            </w:r>
            <w:r>
              <w:t>diversos sectores, lo que pone de manifiesto la diversidad del tejido empresarial comprometido con la cultura preventiva.</w:t>
            </w:r>
          </w:p>
          <w:p w14:paraId="2830209D" w14:textId="77777777" w:rsidR="00C164D4" w:rsidRDefault="00C164D4" w:rsidP="008D53E8">
            <w:pPr>
              <w:jc w:val="both"/>
            </w:pPr>
          </w:p>
          <w:p w14:paraId="1A7F1497" w14:textId="77777777" w:rsidR="005845DA" w:rsidRDefault="004F47ED" w:rsidP="008D53E8">
            <w:pPr>
              <w:jc w:val="both"/>
            </w:pPr>
            <w:r>
              <w:t xml:space="preserve">Asimismo, se concedieron </w:t>
            </w:r>
            <w:r w:rsidRPr="004F47ED">
              <w:rPr>
                <w:b/>
                <w:bCs/>
              </w:rPr>
              <w:t>dos premios extraordinarios</w:t>
            </w:r>
            <w:r>
              <w:t xml:space="preserve"> </w:t>
            </w:r>
            <w:r w:rsidR="00961024">
              <w:t xml:space="preserve">para poner en </w:t>
            </w:r>
            <w:r>
              <w:t xml:space="preserve">valor aportaciones clave en el ámbito preventivo. </w:t>
            </w:r>
          </w:p>
          <w:p w14:paraId="442221D3" w14:textId="77777777" w:rsidR="005845DA" w:rsidRDefault="005845DA" w:rsidP="008D53E8">
            <w:pPr>
              <w:jc w:val="both"/>
            </w:pPr>
          </w:p>
          <w:p w14:paraId="0E44C15B" w14:textId="78C7EB77" w:rsidR="005845DA" w:rsidRDefault="004F47ED" w:rsidP="008D53E8">
            <w:pPr>
              <w:jc w:val="both"/>
            </w:pPr>
            <w:r>
              <w:t xml:space="preserve">El </w:t>
            </w:r>
            <w:r w:rsidRPr="004F47ED">
              <w:rPr>
                <w:b/>
                <w:bCs/>
              </w:rPr>
              <w:t>Premio a la Trayectoria Profesional</w:t>
            </w:r>
            <w:r>
              <w:t xml:space="preserve"> fue para </w:t>
            </w:r>
            <w:r w:rsidRPr="004F47ED">
              <w:rPr>
                <w:rStyle w:val="whitespace-normal"/>
                <w:b/>
                <w:bCs/>
              </w:rPr>
              <w:t>Carme Valls Llobet</w:t>
            </w:r>
            <w:r>
              <w:t>,</w:t>
            </w:r>
            <w:r w:rsidR="00FA6054">
              <w:t xml:space="preserve"> </w:t>
            </w:r>
            <w:r w:rsidR="00FA6054" w:rsidRPr="00FA6054">
              <w:t xml:space="preserve">médica endocrinóloga, investigadora y divulgadora, reconocida por su contribución a la </w:t>
            </w:r>
            <w:r w:rsidR="00FA6054" w:rsidRPr="00FA6054">
              <w:rPr>
                <w:b/>
                <w:bCs/>
              </w:rPr>
              <w:t>incorporación de la perspectiva de género en la medicina</w:t>
            </w:r>
            <w:r w:rsidR="00FA6054">
              <w:rPr>
                <w:b/>
                <w:bCs/>
              </w:rPr>
              <w:t xml:space="preserve"> </w:t>
            </w:r>
            <w:r w:rsidR="00FA6054" w:rsidRPr="00FA6054">
              <w:t>y</w:t>
            </w:r>
            <w:r w:rsidR="00FA6054">
              <w:t xml:space="preserve"> en la prevención de riesgos laborales.</w:t>
            </w:r>
            <w:r w:rsidR="00FA6054" w:rsidRPr="00FA6054">
              <w:t xml:space="preserve"> </w:t>
            </w:r>
            <w:r w:rsidR="000C095B">
              <w:t>H</w:t>
            </w:r>
            <w:r w:rsidR="00FA6054" w:rsidRPr="00FA6054">
              <w:t>a impulsado una visión completa y equitativa de la salud laboral, poniendo el foco en cómo los riesgos afectan de manera diferenciada a mujeres y hombres y en la necesidad de integrar esta realidad en la investigación y en las políticas preventivas</w:t>
            </w:r>
            <w:r w:rsidR="000C095B">
              <w:t>.</w:t>
            </w:r>
          </w:p>
          <w:p w14:paraId="53A9CC86" w14:textId="77777777" w:rsidR="005845DA" w:rsidRDefault="005845DA" w:rsidP="008D53E8">
            <w:pPr>
              <w:jc w:val="both"/>
            </w:pPr>
          </w:p>
          <w:p w14:paraId="5475BDDF" w14:textId="32F1A76C" w:rsidR="00C834B8" w:rsidRPr="00C834B8" w:rsidRDefault="005845DA" w:rsidP="008D53E8">
            <w:pPr>
              <w:jc w:val="both"/>
              <w:rPr>
                <w:b/>
                <w:bCs/>
              </w:rPr>
            </w:pPr>
            <w:r>
              <w:t>E</w:t>
            </w:r>
            <w:r w:rsidR="00E80692">
              <w:t xml:space="preserve">l </w:t>
            </w:r>
            <w:r w:rsidR="00E80692" w:rsidRPr="00BB5280">
              <w:rPr>
                <w:b/>
                <w:bCs/>
              </w:rPr>
              <w:t>Premio a la Entidad Comprometida con la Prevención de Riesgos Laborales</w:t>
            </w:r>
            <w:r w:rsidR="00E80692">
              <w:t xml:space="preserve"> </w:t>
            </w:r>
            <w:r w:rsidR="00961024">
              <w:t>distinguió al</w:t>
            </w:r>
            <w:r w:rsidR="00E80692">
              <w:t xml:space="preserve"> </w:t>
            </w:r>
            <w:r w:rsidR="00E80692" w:rsidRPr="00BB5280">
              <w:rPr>
                <w:rStyle w:val="whitespace-normal"/>
                <w:b/>
                <w:bCs/>
              </w:rPr>
              <w:t>Instituto Biomecánico de Valencia</w:t>
            </w:r>
            <w:r w:rsidR="00E80692">
              <w:rPr>
                <w:rStyle w:val="whitespace-normal"/>
                <w:b/>
                <w:bCs/>
              </w:rPr>
              <w:t xml:space="preserve">, </w:t>
            </w:r>
            <w:r w:rsidR="004F47ED">
              <w:t>centro tecnológico de referencia en biomecánica y ergonomía aplicada, cuya labor ha contribuido</w:t>
            </w:r>
            <w:r w:rsidR="00E80692">
              <w:t xml:space="preserve"> </w:t>
            </w:r>
            <w:r w:rsidR="004F47ED">
              <w:t>a mejorar las condiciones de trabajo y a prevenir trastornos musculoesqueléticos</w:t>
            </w:r>
            <w:r>
              <w:t xml:space="preserve">, </w:t>
            </w:r>
            <w:r w:rsidR="00C834B8">
              <w:t xml:space="preserve">una de las </w:t>
            </w:r>
            <w:r w:rsidR="00C834B8" w:rsidRPr="00BA51E8">
              <w:rPr>
                <w:b/>
                <w:bCs/>
              </w:rPr>
              <w:t>principales causas de incapacidad temporal y absentismo laboral</w:t>
            </w:r>
            <w:r w:rsidR="00C834B8">
              <w:t>. En 2025, los sobreesfuerzos físicos sobre el sistema musculoesquelético representaron el 27% de los accidentes con baja en jornada de trabajo en España, según datos del Ministerio de Trabajo y Economía Social, especialmente vinculados a movimientos repetitivos, posturas forzadas y sobrecarga física en el entorno laboral.</w:t>
            </w:r>
          </w:p>
          <w:p w14:paraId="7294022C" w14:textId="77777777" w:rsidR="002473F6" w:rsidRPr="00C777E6" w:rsidRDefault="002473F6" w:rsidP="002A7841">
            <w:pPr>
              <w:suppressAutoHyphens/>
              <w:jc w:val="both"/>
            </w:pPr>
          </w:p>
          <w:p w14:paraId="382E2381" w14:textId="0202E766" w:rsidR="00C9368E" w:rsidRDefault="00C9368E" w:rsidP="002A7841">
            <w:pPr>
              <w:jc w:val="both"/>
            </w:pPr>
            <w:r>
              <w:rPr>
                <w:rStyle w:val="Textoennegrita"/>
              </w:rPr>
              <w:t xml:space="preserve">Pedro </w:t>
            </w:r>
            <w:proofErr w:type="spellStart"/>
            <w:r>
              <w:rPr>
                <w:rStyle w:val="Textoennegrita"/>
              </w:rPr>
              <w:t>Serrera</w:t>
            </w:r>
            <w:proofErr w:type="spellEnd"/>
            <w:r>
              <w:t xml:space="preserve">, secretario </w:t>
            </w:r>
            <w:r w:rsidR="00B15EE9">
              <w:t>G</w:t>
            </w:r>
            <w:r>
              <w:t xml:space="preserve">eneral de </w:t>
            </w:r>
            <w:r>
              <w:rPr>
                <w:rStyle w:val="whitespace-normal"/>
              </w:rPr>
              <w:t>Fraternidad-</w:t>
            </w:r>
            <w:proofErr w:type="spellStart"/>
            <w:r>
              <w:rPr>
                <w:rStyle w:val="whitespace-normal"/>
              </w:rPr>
              <w:t>Muprespa</w:t>
            </w:r>
            <w:proofErr w:type="spellEnd"/>
            <w:r>
              <w:t xml:space="preserve">, clausuró la jornada agradeciendo a las empresas su compromiso con la seguridad y la salud laboral y subrayó que </w:t>
            </w:r>
            <w:r w:rsidRPr="005845DA">
              <w:t>“la prevención de riesgos laborales no es un mero requisito normativo, sino una herramienta imprescindible para construir empresas más responsables, eficientes y sostenibles; debe integrarse en el corazón de la empresa, en su cultura, en su gestión y en cada decisión, como un compromiso compartido”.</w:t>
            </w:r>
          </w:p>
          <w:p w14:paraId="3DCAB6E2" w14:textId="77777777" w:rsidR="00C9368E" w:rsidRDefault="00C9368E" w:rsidP="002A7841">
            <w:pPr>
              <w:jc w:val="both"/>
            </w:pPr>
          </w:p>
          <w:p w14:paraId="04FD29E0" w14:textId="1E59D046" w:rsidR="008D53E8" w:rsidRPr="00F74491" w:rsidRDefault="005D5E5B" w:rsidP="002A7841">
            <w:pPr>
              <w:jc w:val="both"/>
            </w:pPr>
            <w:r>
              <w:t xml:space="preserve">La entrega de </w:t>
            </w:r>
            <w:r w:rsidR="004D65D3">
              <w:t xml:space="preserve">los </w:t>
            </w:r>
            <w:r>
              <w:t xml:space="preserve">premios coincide con la conmemoración del Día Mundial de la Seguridad y Salud en el Trabajo, que se celebra </w:t>
            </w:r>
            <w:r w:rsidR="004D65D3">
              <w:t xml:space="preserve">cada </w:t>
            </w:r>
            <w:r>
              <w:t xml:space="preserve">28 de abril. </w:t>
            </w:r>
          </w:p>
          <w:p w14:paraId="749CB986" w14:textId="77777777" w:rsidR="00E12A0A" w:rsidRPr="00E12A0A" w:rsidRDefault="00E12A0A" w:rsidP="006456C8">
            <w:pPr>
              <w:widowControl/>
              <w:autoSpaceDE/>
              <w:autoSpaceDN/>
              <w:ind w:left="720"/>
              <w:jc w:val="both"/>
              <w:rPr>
                <w:sz w:val="20"/>
                <w:szCs w:val="20"/>
              </w:rPr>
            </w:pPr>
          </w:p>
          <w:p w14:paraId="3B863893" w14:textId="77777777" w:rsidR="009E31C8" w:rsidRPr="009E31C8" w:rsidRDefault="009E31C8" w:rsidP="006456C8">
            <w:pPr>
              <w:pStyle w:val="Prrafodelista"/>
              <w:ind w:left="0"/>
              <w:jc w:val="both"/>
              <w:rPr>
                <w:rFonts w:cs="Calibri"/>
                <w:sz w:val="24"/>
                <w:szCs w:val="24"/>
              </w:rPr>
            </w:pPr>
          </w:p>
          <w:p w14:paraId="3946C756" w14:textId="77777777" w:rsidR="003E4682" w:rsidRDefault="003E4682" w:rsidP="00755A69">
            <w:pPr>
              <w:suppressAutoHyphens/>
              <w:jc w:val="center"/>
              <w:rPr>
                <w:rFonts w:eastAsia="Times New Roman"/>
                <w:noProof/>
                <w:lang w:bidi="ar-SA"/>
              </w:rPr>
            </w:pPr>
          </w:p>
          <w:p w14:paraId="7787A436" w14:textId="77777777" w:rsidR="003E4682" w:rsidRDefault="003E4682" w:rsidP="00755A69">
            <w:pPr>
              <w:suppressAutoHyphens/>
              <w:jc w:val="center"/>
              <w:rPr>
                <w:rFonts w:eastAsia="Times New Roman"/>
                <w:noProof/>
                <w:lang w:bidi="ar-SA"/>
              </w:rPr>
            </w:pPr>
          </w:p>
          <w:p w14:paraId="6D3AE461" w14:textId="77777777" w:rsidR="003E4682" w:rsidRDefault="003E4682" w:rsidP="00755A69">
            <w:pPr>
              <w:suppressAutoHyphens/>
              <w:jc w:val="center"/>
              <w:rPr>
                <w:rFonts w:eastAsia="Times New Roman"/>
                <w:noProof/>
                <w:lang w:bidi="ar-SA"/>
              </w:rPr>
            </w:pPr>
          </w:p>
          <w:p w14:paraId="6003580A" w14:textId="77777777" w:rsidR="003E4682" w:rsidRDefault="003E4682" w:rsidP="00755A69">
            <w:pPr>
              <w:suppressAutoHyphens/>
              <w:jc w:val="center"/>
              <w:rPr>
                <w:rFonts w:eastAsia="Times New Roman"/>
                <w:noProof/>
                <w:lang w:bidi="ar-SA"/>
              </w:rPr>
            </w:pPr>
          </w:p>
          <w:p w14:paraId="172B5234" w14:textId="77777777" w:rsidR="003E4682" w:rsidRDefault="003E4682" w:rsidP="00755A69">
            <w:pPr>
              <w:suppressAutoHyphens/>
              <w:jc w:val="center"/>
              <w:rPr>
                <w:rFonts w:eastAsia="Times New Roman"/>
                <w:noProof/>
                <w:lang w:bidi="ar-SA"/>
              </w:rPr>
            </w:pPr>
          </w:p>
          <w:p w14:paraId="5940B3A0" w14:textId="77777777" w:rsidR="003E4682" w:rsidRDefault="003E4682" w:rsidP="00755A69">
            <w:pPr>
              <w:suppressAutoHyphens/>
              <w:jc w:val="center"/>
              <w:rPr>
                <w:rFonts w:eastAsia="Times New Roman"/>
                <w:noProof/>
                <w:lang w:bidi="ar-SA"/>
              </w:rPr>
            </w:pPr>
          </w:p>
          <w:p w14:paraId="571F61A3" w14:textId="77777777" w:rsidR="003E4682" w:rsidRDefault="003E4682" w:rsidP="00755A69">
            <w:pPr>
              <w:suppressAutoHyphens/>
              <w:jc w:val="center"/>
              <w:rPr>
                <w:rFonts w:eastAsia="Times New Roman"/>
                <w:noProof/>
                <w:lang w:bidi="ar-SA"/>
              </w:rPr>
            </w:pPr>
          </w:p>
          <w:p w14:paraId="74F5F5A1" w14:textId="77777777" w:rsidR="003E4682" w:rsidRDefault="003E4682" w:rsidP="00755A69">
            <w:pPr>
              <w:suppressAutoHyphens/>
              <w:jc w:val="center"/>
              <w:rPr>
                <w:rFonts w:eastAsia="Times New Roman"/>
                <w:noProof/>
                <w:lang w:bidi="ar-SA"/>
              </w:rPr>
            </w:pPr>
          </w:p>
          <w:p w14:paraId="2F65606E" w14:textId="77777777" w:rsidR="003E4682" w:rsidRDefault="003E4682" w:rsidP="00755A69">
            <w:pPr>
              <w:suppressAutoHyphens/>
              <w:jc w:val="center"/>
              <w:rPr>
                <w:rFonts w:eastAsia="Times New Roman"/>
                <w:noProof/>
                <w:lang w:bidi="ar-SA"/>
              </w:rPr>
            </w:pPr>
          </w:p>
          <w:p w14:paraId="273532A6" w14:textId="1ADD1B19" w:rsidR="006456C8" w:rsidRPr="00FF5116" w:rsidRDefault="008D53E8" w:rsidP="00755A69">
            <w:pPr>
              <w:suppressAutoHyphens/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lang w:bidi="ar-SA"/>
              </w:rPr>
              <w:lastRenderedPageBreak/>
              <w:t>FOTO</w:t>
            </w:r>
            <w:r w:rsidR="001F74A1">
              <w:rPr>
                <w:rFonts w:eastAsia="Times New Roman"/>
                <w:noProof/>
                <w:lang w:bidi="ar-SA"/>
              </w:rPr>
              <w:t xml:space="preserve"> FAMILIA GANADORES</w:t>
            </w:r>
          </w:p>
          <w:p w14:paraId="3EE4DC94" w14:textId="521F14D3" w:rsidR="006456C8" w:rsidRDefault="006456C8" w:rsidP="006456C8">
            <w:pPr>
              <w:suppressAutoHyphens/>
              <w:jc w:val="center"/>
              <w:rPr>
                <w:rFonts w:eastAsia="Times New Roman"/>
                <w:bCs/>
              </w:rPr>
            </w:pPr>
          </w:p>
          <w:p w14:paraId="0D6EBBBF" w14:textId="020D59D3" w:rsidR="003E4682" w:rsidRDefault="003E4682" w:rsidP="006456C8">
            <w:pPr>
              <w:suppressAutoHyphens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noProof/>
              </w:rPr>
              <w:drawing>
                <wp:inline distT="0" distB="0" distL="0" distR="0" wp14:anchorId="553BAA59" wp14:editId="1E5E10D0">
                  <wp:extent cx="6356350" cy="4349115"/>
                  <wp:effectExtent l="0" t="0" r="635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0" cy="434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316EE5" w14:textId="77777777" w:rsidR="003E4682" w:rsidRPr="00FF5116" w:rsidRDefault="003E4682" w:rsidP="006456C8">
            <w:pPr>
              <w:suppressAutoHyphens/>
              <w:jc w:val="center"/>
              <w:rPr>
                <w:rFonts w:eastAsia="Times New Roman"/>
                <w:bCs/>
              </w:rPr>
            </w:pPr>
          </w:p>
          <w:p w14:paraId="22CE37F8" w14:textId="59EEE66F" w:rsidR="006456C8" w:rsidRDefault="00755A69" w:rsidP="00755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 de grupo de los premiados</w:t>
            </w:r>
            <w:r w:rsidR="0064592A">
              <w:rPr>
                <w:sz w:val="18"/>
                <w:szCs w:val="18"/>
              </w:rPr>
              <w:t xml:space="preserve">  </w:t>
            </w:r>
          </w:p>
          <w:p w14:paraId="0505D8FE" w14:textId="77777777" w:rsidR="00BA51E8" w:rsidRDefault="00BA51E8" w:rsidP="00755A69">
            <w:pPr>
              <w:jc w:val="center"/>
            </w:pPr>
          </w:p>
          <w:p w14:paraId="5C45F3D8" w14:textId="77777777" w:rsidR="006456C8" w:rsidRDefault="006456C8" w:rsidP="006456C8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14:paraId="02A87BA4" w14:textId="5C602A39" w:rsidR="00755A69" w:rsidRDefault="00755A69" w:rsidP="00755A69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Puede ver y descargar fotos del acto en esta </w:t>
            </w:r>
            <w:hyperlink r:id="rId10" w:history="1">
              <w:r w:rsidRPr="0064592A">
                <w:rPr>
                  <w:rStyle w:val="Hipervnculo"/>
                  <w:rFonts w:ascii="Verdana" w:eastAsia="Calibri" w:hAnsi="Verdana"/>
                  <w:b/>
                  <w:bCs/>
                  <w:sz w:val="18"/>
                  <w:szCs w:val="18"/>
                  <w:lang w:eastAsia="en-US"/>
                </w:rPr>
                <w:t xml:space="preserve">galería </w:t>
              </w:r>
              <w:r w:rsidRPr="0064592A">
                <w:rPr>
                  <w:rStyle w:val="Hipervnculo"/>
                  <w:rFonts w:ascii="Verdana" w:eastAsia="Calibri" w:hAnsi="Verdana"/>
                  <w:b/>
                  <w:bCs/>
                  <w:sz w:val="18"/>
                  <w:szCs w:val="18"/>
                  <w:lang w:eastAsia="en-US"/>
                </w:rPr>
                <w:t>de imágenes</w:t>
              </w:r>
            </w:hyperlink>
          </w:p>
          <w:p w14:paraId="3D949043" w14:textId="77777777" w:rsidR="006456C8" w:rsidRDefault="006456C8" w:rsidP="006456C8">
            <w:pPr>
              <w:jc w:val="center"/>
              <w:rPr>
                <w:color w:val="000000"/>
                <w:sz w:val="20"/>
                <w:szCs w:val="20"/>
              </w:rPr>
            </w:pPr>
            <w:r w:rsidRPr="00B57B0D">
              <w:rPr>
                <w:color w:val="000000"/>
                <w:sz w:val="20"/>
                <w:szCs w:val="20"/>
                <w:highlight w:val="lightGray"/>
              </w:rPr>
              <w:t xml:space="preserve">Etiquetas: </w:t>
            </w:r>
            <w:r w:rsidR="00E12A0A">
              <w:rPr>
                <w:color w:val="000000"/>
                <w:sz w:val="20"/>
                <w:szCs w:val="20"/>
              </w:rPr>
              <w:t xml:space="preserve">prevención, seguridad laboral, salud, riesgos laborales, premios, </w:t>
            </w:r>
          </w:p>
          <w:p w14:paraId="076F2D37" w14:textId="77777777" w:rsidR="006456C8" w:rsidRDefault="006456C8" w:rsidP="006456C8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907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4"/>
            </w:tblGrid>
            <w:tr w:rsidR="006456C8" w:rsidRPr="00B02494" w14:paraId="167F7482" w14:textId="77777777" w:rsidTr="00585114">
              <w:trPr>
                <w:trHeight w:val="478"/>
                <w:jc w:val="center"/>
              </w:trPr>
              <w:tc>
                <w:tcPr>
                  <w:tcW w:w="9078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264669" w14:textId="77777777" w:rsidR="006456C8" w:rsidRDefault="006456C8" w:rsidP="006456C8"/>
                <w:tbl>
                  <w:tblPr>
                    <w:tblW w:w="907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8"/>
                  </w:tblGrid>
                  <w:tr w:rsidR="0035121D" w:rsidRPr="00B02494" w14:paraId="7654CA70" w14:textId="77777777" w:rsidTr="0035121D">
                    <w:trPr>
                      <w:trHeight w:val="240"/>
                      <w:jc w:val="center"/>
                    </w:trPr>
                    <w:tc>
                      <w:tcPr>
                        <w:tcW w:w="907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tbl>
                        <w:tblPr>
                          <w:tblW w:w="8862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62"/>
                        </w:tblGrid>
                        <w:tr w:rsidR="0035121D" w:rsidRPr="00BF79E6" w14:paraId="57325BD6" w14:textId="77777777" w:rsidTr="00330977">
                          <w:trPr>
                            <w:trHeight w:val="498"/>
                            <w:jc w:val="center"/>
                          </w:trPr>
                          <w:tc>
                            <w:tcPr>
                              <w:tcW w:w="8862" w:type="dxa"/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5FB9BE" w14:textId="603D3316" w:rsidR="0035121D" w:rsidRDefault="0035121D" w:rsidP="0035121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F79E6">
                                <w:rPr>
                                  <w:b/>
                                  <w:sz w:val="28"/>
                                  <w:szCs w:val="28"/>
                                </w:rPr>
                                <w:t>Sobre Fraternidad-</w:t>
                              </w:r>
                              <w:proofErr w:type="spellStart"/>
                              <w:r w:rsidRPr="00BF79E6">
                                <w:rPr>
                                  <w:b/>
                                  <w:sz w:val="28"/>
                                  <w:szCs w:val="28"/>
                                </w:rPr>
                                <w:t>Muprespa</w:t>
                              </w:r>
                              <w:proofErr w:type="spellEnd"/>
                              <w:r w:rsidRPr="00BF79E6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</w:p>
                            <w:p w14:paraId="26DDABA2" w14:textId="77777777" w:rsidR="0035121D" w:rsidRPr="00BF79E6" w:rsidRDefault="0035121D" w:rsidP="0035121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2C656AA4" w14:textId="77777777" w:rsidR="0035121D" w:rsidRPr="00BF79E6" w:rsidRDefault="0035121D" w:rsidP="0035121D">
                              <w:pPr>
                                <w:pStyle w:val="Cita"/>
                                <w:spacing w:before="0" w:after="0" w:line="240" w:lineRule="auto"/>
                                <w:rPr>
                                  <w:rFonts w:ascii="Calibri" w:hAnsi="Calibri" w:cs="Calibri"/>
                                  <w:sz w:val="18"/>
                                  <w:szCs w:val="22"/>
                                  <w:lang w:val="es-ES"/>
                                </w:rPr>
                              </w:pPr>
                              <w:r w:rsidRPr="00BF79E6">
                                <w:rPr>
                                  <w:rFonts w:ascii="Calibri" w:hAnsi="Calibri" w:cs="Calibri"/>
                                  <w:color w:val="auto"/>
                                  <w:kern w:val="0"/>
                                  <w:sz w:val="18"/>
                                  <w:szCs w:val="22"/>
                                  <w:lang w:val="es-ES" w:eastAsia="en-US"/>
                                </w:rPr>
                                <w:t xml:space="preserve">Mutua Colaboradora con la Seguridad Social </w:t>
                              </w:r>
                              <w:proofErr w:type="spellStart"/>
                              <w:r w:rsidRPr="00BF79E6">
                                <w:rPr>
                                  <w:rFonts w:ascii="Calibri" w:hAnsi="Calibri" w:cs="Calibri"/>
                                  <w:color w:val="auto"/>
                                  <w:kern w:val="0"/>
                                  <w:sz w:val="18"/>
                                  <w:szCs w:val="22"/>
                                  <w:lang w:val="es-ES" w:eastAsia="en-US"/>
                                </w:rPr>
                                <w:t>nº</w:t>
                              </w:r>
                              <w:proofErr w:type="spellEnd"/>
                              <w:r w:rsidRPr="00BF79E6">
                                <w:rPr>
                                  <w:rFonts w:ascii="Calibri" w:hAnsi="Calibri" w:cs="Calibri"/>
                                  <w:color w:val="auto"/>
                                  <w:kern w:val="0"/>
                                  <w:sz w:val="18"/>
                                  <w:szCs w:val="22"/>
                                  <w:lang w:val="es-ES" w:eastAsia="en-US"/>
                                </w:rPr>
                                <w:t xml:space="preserve"> 275, tiene por actividad el tratamiento integral de los accidentes de trabajo y enfermedades profesionales, en su vertiente económica, sanitaria, recuperadora y preventiva. </w:t>
                              </w:r>
                              <w:r w:rsidRPr="00BF79E6">
                                <w:rPr>
                                  <w:rFonts w:ascii="Calibri" w:hAnsi="Calibri" w:cs="Calibri"/>
                                  <w:color w:val="auto"/>
                                  <w:kern w:val="0"/>
                                  <w:sz w:val="18"/>
                                  <w:szCs w:val="22"/>
                                  <w:lang w:val="es-ES" w:eastAsia="es-ES"/>
                                </w:rPr>
                                <w:t xml:space="preserve">Tiene asociadas </w:t>
                              </w:r>
                              <w:r w:rsidRPr="00BF79E6">
                                <w:rPr>
                                  <w:rFonts w:ascii="Calibri" w:hAnsi="Calibri" w:cs="Calibri"/>
                                  <w:color w:val="auto"/>
                                  <w:kern w:val="0"/>
                                  <w:sz w:val="18"/>
                                  <w:szCs w:val="22"/>
                                  <w:lang w:val="es-ES" w:eastAsia="en-US"/>
                                </w:rPr>
                                <w:t>119.134 empresas y 1.576.453 trabajadores</w:t>
                              </w:r>
                              <w:r w:rsidRPr="00BF79E6">
                                <w:rPr>
                                  <w:rFonts w:ascii="Calibri" w:hAnsi="Calibri" w:cs="Calibri"/>
                                  <w:color w:val="auto"/>
                                  <w:kern w:val="0"/>
                                  <w:sz w:val="18"/>
                                  <w:szCs w:val="22"/>
                                  <w:lang w:val="es-ES" w:eastAsia="es-ES"/>
                                </w:rPr>
                                <w:t>, velando por ellos, una plantilla de 2.179 empleados y 115 centros asistenciales y administrativos en toda España.</w:t>
                              </w:r>
                              <w:r w:rsidRPr="00BF79E6">
                                <w:rPr>
                                  <w:rFonts w:ascii="Calibri" w:hAnsi="Calibri" w:cs="Calibri"/>
                                  <w:sz w:val="18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</w:p>
                            <w:p w14:paraId="49B8ED65" w14:textId="77777777" w:rsidR="0035121D" w:rsidRPr="00BF79E6" w:rsidRDefault="0035121D" w:rsidP="0035121D">
                              <w:pPr>
                                <w:rPr>
                                  <w:sz w:val="8"/>
                                  <w:lang w:eastAsia="ja-JP"/>
                                </w:rPr>
                              </w:pPr>
                              <w:r w:rsidRPr="00BF79E6">
                                <w:rPr>
                                  <w:sz w:val="8"/>
                                  <w:lang w:eastAsia="ja-JP"/>
                                </w:rPr>
                                <w:t xml:space="preserve">   </w:t>
                              </w:r>
                            </w:p>
                            <w:p w14:paraId="56781109" w14:textId="77777777" w:rsidR="0035121D" w:rsidRPr="00BF79E6" w:rsidRDefault="0064592A" w:rsidP="0035121D">
                              <w:pPr>
                                <w:pStyle w:val="Cita"/>
                                <w:spacing w:before="0" w:after="0"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hyperlink r:id="rId11" w:history="1">
                                <w:r w:rsidR="0035121D" w:rsidRPr="00BF79E6">
                                  <w:rPr>
                                    <w:rStyle w:val="Hipervnculo"/>
                                    <w:rFonts w:eastAsia="Times New Roman"/>
                                    <w:sz w:val="18"/>
                                  </w:rPr>
                                  <w:t>fraternidad.com</w:t>
                                </w:r>
                              </w:hyperlink>
                            </w:p>
                          </w:tc>
                        </w:tr>
                        <w:tr w:rsidR="0035121D" w:rsidRPr="00BF79E6" w14:paraId="65D69942" w14:textId="77777777" w:rsidTr="00330977">
                          <w:trPr>
                            <w:trHeight w:val="240"/>
                            <w:jc w:val="center"/>
                          </w:trPr>
                          <w:tc>
                            <w:tcPr>
                              <w:tcW w:w="8862" w:type="dxa"/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14:paraId="41FA0B37" w14:textId="77777777" w:rsidR="0035121D" w:rsidRPr="00BF79E6" w:rsidRDefault="0035121D" w:rsidP="0035121D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F79E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GABINETE DE PRENSA</w:t>
                              </w:r>
                            </w:p>
                            <w:p w14:paraId="308D1B17" w14:textId="77777777" w:rsidR="0035121D" w:rsidRPr="00BF79E6" w:rsidRDefault="0064592A" w:rsidP="0035121D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="0035121D" w:rsidRPr="00BF79E6">
                                  <w:rPr>
                                    <w:rStyle w:val="Hipervnculo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gabineteprensa@fraternidad.com</w:t>
                                </w:r>
                              </w:hyperlink>
                            </w:p>
                            <w:p w14:paraId="30552097" w14:textId="77777777" w:rsidR="0035121D" w:rsidRPr="00BF79E6" w:rsidRDefault="0035121D" w:rsidP="0035121D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F79E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C/ Cervantes, 44, 1º Izquierda. 28014, Madrid</w:t>
                              </w:r>
                            </w:p>
                            <w:p w14:paraId="4CD01586" w14:textId="77777777" w:rsidR="0035121D" w:rsidRPr="00BF79E6" w:rsidRDefault="0035121D" w:rsidP="0035121D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E13BD60" w14:textId="39A0A3DA" w:rsidR="0035121D" w:rsidRPr="00491200" w:rsidRDefault="0035121D" w:rsidP="0035121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</w:rPr>
                        </w:pPr>
                      </w:p>
                    </w:tc>
                  </w:tr>
                </w:tbl>
                <w:p w14:paraId="2DE71E3A" w14:textId="77777777" w:rsidR="006456C8" w:rsidRPr="00B02494" w:rsidRDefault="006456C8" w:rsidP="006456C8">
                  <w:pPr>
                    <w:jc w:val="both"/>
                  </w:pPr>
                </w:p>
              </w:tc>
            </w:tr>
          </w:tbl>
          <w:p w14:paraId="32A5661C" w14:textId="77777777" w:rsidR="006456C8" w:rsidRDefault="006456C8" w:rsidP="006456C8">
            <w:pPr>
              <w:jc w:val="both"/>
              <w:rPr>
                <w:rFonts w:cs="Calibri"/>
              </w:rPr>
            </w:pPr>
          </w:p>
        </w:tc>
      </w:tr>
    </w:tbl>
    <w:p w14:paraId="4CF60D97" w14:textId="77777777" w:rsidR="00170047" w:rsidRPr="00F258B9" w:rsidRDefault="00170047" w:rsidP="00F258B9"/>
    <w:sectPr w:rsidR="00170047" w:rsidRPr="00F258B9" w:rsidSect="00170047">
      <w:headerReference w:type="default" r:id="rId13"/>
      <w:pgSz w:w="11910" w:h="16840"/>
      <w:pgMar w:top="1440" w:right="960" w:bottom="280" w:left="940" w:header="5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5E2E" w14:textId="77777777" w:rsidR="003A3759" w:rsidRDefault="003A3759" w:rsidP="00170047">
      <w:r>
        <w:separator/>
      </w:r>
    </w:p>
  </w:endnote>
  <w:endnote w:type="continuationSeparator" w:id="0">
    <w:p w14:paraId="68114DCE" w14:textId="77777777" w:rsidR="003A3759" w:rsidRDefault="003A3759" w:rsidP="0017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7179" w14:textId="77777777" w:rsidR="003A3759" w:rsidRDefault="003A3759" w:rsidP="00170047">
      <w:r>
        <w:separator/>
      </w:r>
    </w:p>
  </w:footnote>
  <w:footnote w:type="continuationSeparator" w:id="0">
    <w:p w14:paraId="2857BA99" w14:textId="77777777" w:rsidR="003A3759" w:rsidRDefault="003A3759" w:rsidP="0017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6063" w14:textId="77777777" w:rsidR="00170047" w:rsidRDefault="0017004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6C49"/>
    <w:multiLevelType w:val="hybridMultilevel"/>
    <w:tmpl w:val="0366C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D62EA"/>
    <w:multiLevelType w:val="hybridMultilevel"/>
    <w:tmpl w:val="C8285AAE"/>
    <w:lvl w:ilvl="0" w:tplc="20D4B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3833"/>
    <w:multiLevelType w:val="hybridMultilevel"/>
    <w:tmpl w:val="EA266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A7DA2"/>
    <w:multiLevelType w:val="hybridMultilevel"/>
    <w:tmpl w:val="ED9C43AE"/>
    <w:lvl w:ilvl="0" w:tplc="C2D26544">
      <w:numFmt w:val="bullet"/>
      <w:lvlText w:val=""/>
      <w:lvlJc w:val="left"/>
      <w:pPr>
        <w:ind w:left="414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3FDC2E46">
      <w:numFmt w:val="bullet"/>
      <w:lvlText w:val="•"/>
      <w:lvlJc w:val="left"/>
      <w:pPr>
        <w:ind w:left="1355" w:hanging="361"/>
      </w:pPr>
      <w:rPr>
        <w:rFonts w:hint="default"/>
        <w:lang w:val="es-ES" w:eastAsia="es-ES" w:bidi="es-ES"/>
      </w:rPr>
    </w:lvl>
    <w:lvl w:ilvl="2" w:tplc="91F27010">
      <w:numFmt w:val="bullet"/>
      <w:lvlText w:val="•"/>
      <w:lvlJc w:val="left"/>
      <w:pPr>
        <w:ind w:left="2291" w:hanging="361"/>
      </w:pPr>
      <w:rPr>
        <w:rFonts w:hint="default"/>
        <w:lang w:val="es-ES" w:eastAsia="es-ES" w:bidi="es-ES"/>
      </w:rPr>
    </w:lvl>
    <w:lvl w:ilvl="3" w:tplc="90A22414">
      <w:numFmt w:val="bullet"/>
      <w:lvlText w:val="•"/>
      <w:lvlJc w:val="left"/>
      <w:pPr>
        <w:ind w:left="3227" w:hanging="361"/>
      </w:pPr>
      <w:rPr>
        <w:rFonts w:hint="default"/>
        <w:lang w:val="es-ES" w:eastAsia="es-ES" w:bidi="es-ES"/>
      </w:rPr>
    </w:lvl>
    <w:lvl w:ilvl="4" w:tplc="99C49420">
      <w:numFmt w:val="bullet"/>
      <w:lvlText w:val="•"/>
      <w:lvlJc w:val="left"/>
      <w:pPr>
        <w:ind w:left="4162" w:hanging="361"/>
      </w:pPr>
      <w:rPr>
        <w:rFonts w:hint="default"/>
        <w:lang w:val="es-ES" w:eastAsia="es-ES" w:bidi="es-ES"/>
      </w:rPr>
    </w:lvl>
    <w:lvl w:ilvl="5" w:tplc="138EA83A">
      <w:numFmt w:val="bullet"/>
      <w:lvlText w:val="•"/>
      <w:lvlJc w:val="left"/>
      <w:pPr>
        <w:ind w:left="5098" w:hanging="361"/>
      </w:pPr>
      <w:rPr>
        <w:rFonts w:hint="default"/>
        <w:lang w:val="es-ES" w:eastAsia="es-ES" w:bidi="es-ES"/>
      </w:rPr>
    </w:lvl>
    <w:lvl w:ilvl="6" w:tplc="6090070C">
      <w:numFmt w:val="bullet"/>
      <w:lvlText w:val="•"/>
      <w:lvlJc w:val="left"/>
      <w:pPr>
        <w:ind w:left="6034" w:hanging="361"/>
      </w:pPr>
      <w:rPr>
        <w:rFonts w:hint="default"/>
        <w:lang w:val="es-ES" w:eastAsia="es-ES" w:bidi="es-ES"/>
      </w:rPr>
    </w:lvl>
    <w:lvl w:ilvl="7" w:tplc="D50816D4">
      <w:numFmt w:val="bullet"/>
      <w:lvlText w:val="•"/>
      <w:lvlJc w:val="left"/>
      <w:pPr>
        <w:ind w:left="6969" w:hanging="361"/>
      </w:pPr>
      <w:rPr>
        <w:rFonts w:hint="default"/>
        <w:lang w:val="es-ES" w:eastAsia="es-ES" w:bidi="es-ES"/>
      </w:rPr>
    </w:lvl>
    <w:lvl w:ilvl="8" w:tplc="0F7E9FC8">
      <w:numFmt w:val="bullet"/>
      <w:lvlText w:val="•"/>
      <w:lvlJc w:val="left"/>
      <w:pPr>
        <w:ind w:left="7905" w:hanging="361"/>
      </w:pPr>
      <w:rPr>
        <w:rFonts w:hint="default"/>
        <w:lang w:val="es-ES" w:eastAsia="es-ES" w:bidi="es-ES"/>
      </w:rPr>
    </w:lvl>
  </w:abstractNum>
  <w:abstractNum w:abstractNumId="4" w15:restartNumberingAfterBreak="0">
    <w:nsid w:val="2594561A"/>
    <w:multiLevelType w:val="hybridMultilevel"/>
    <w:tmpl w:val="3FF4D064"/>
    <w:lvl w:ilvl="0" w:tplc="4C420F32">
      <w:start w:val="28"/>
      <w:numFmt w:val="decimal"/>
      <w:lvlText w:val="%1"/>
      <w:lvlJc w:val="left"/>
      <w:pPr>
        <w:ind w:left="720" w:hanging="360"/>
      </w:pPr>
      <w:rPr>
        <w:rFonts w:hint="default"/>
        <w:b/>
        <w:color w:val="FF7F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253A"/>
    <w:multiLevelType w:val="hybridMultilevel"/>
    <w:tmpl w:val="8E76A98E"/>
    <w:lvl w:ilvl="0" w:tplc="1ADA64AC">
      <w:start w:val="23"/>
      <w:numFmt w:val="decimal"/>
      <w:lvlText w:val="%1"/>
      <w:lvlJc w:val="left"/>
      <w:pPr>
        <w:ind w:left="720" w:hanging="360"/>
      </w:pPr>
      <w:rPr>
        <w:rFonts w:hint="default"/>
        <w:b/>
        <w:color w:val="FF7F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73F7"/>
    <w:multiLevelType w:val="hybridMultilevel"/>
    <w:tmpl w:val="09AC660E"/>
    <w:lvl w:ilvl="0" w:tplc="BB6A57EE">
      <w:numFmt w:val="bullet"/>
      <w:lvlText w:val=""/>
      <w:lvlJc w:val="left"/>
      <w:pPr>
        <w:ind w:left="531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B1601B40">
      <w:numFmt w:val="bullet"/>
      <w:lvlText w:val="•"/>
      <w:lvlJc w:val="left"/>
      <w:pPr>
        <w:ind w:left="1486" w:hanging="361"/>
      </w:pPr>
      <w:rPr>
        <w:rFonts w:hint="default"/>
        <w:lang w:val="es-ES" w:eastAsia="es-ES" w:bidi="es-ES"/>
      </w:rPr>
    </w:lvl>
    <w:lvl w:ilvl="2" w:tplc="CCF678E6">
      <w:numFmt w:val="bullet"/>
      <w:lvlText w:val="•"/>
      <w:lvlJc w:val="left"/>
      <w:pPr>
        <w:ind w:left="2433" w:hanging="361"/>
      </w:pPr>
      <w:rPr>
        <w:rFonts w:hint="default"/>
        <w:lang w:val="es-ES" w:eastAsia="es-ES" w:bidi="es-ES"/>
      </w:rPr>
    </w:lvl>
    <w:lvl w:ilvl="3" w:tplc="B45CC2D6">
      <w:numFmt w:val="bullet"/>
      <w:lvlText w:val="•"/>
      <w:lvlJc w:val="left"/>
      <w:pPr>
        <w:ind w:left="3379" w:hanging="361"/>
      </w:pPr>
      <w:rPr>
        <w:rFonts w:hint="default"/>
        <w:lang w:val="es-ES" w:eastAsia="es-ES" w:bidi="es-ES"/>
      </w:rPr>
    </w:lvl>
    <w:lvl w:ilvl="4" w:tplc="34283734">
      <w:numFmt w:val="bullet"/>
      <w:lvlText w:val="•"/>
      <w:lvlJc w:val="left"/>
      <w:pPr>
        <w:ind w:left="4326" w:hanging="361"/>
      </w:pPr>
      <w:rPr>
        <w:rFonts w:hint="default"/>
        <w:lang w:val="es-ES" w:eastAsia="es-ES" w:bidi="es-ES"/>
      </w:rPr>
    </w:lvl>
    <w:lvl w:ilvl="5" w:tplc="11FC50B8">
      <w:numFmt w:val="bullet"/>
      <w:lvlText w:val="•"/>
      <w:lvlJc w:val="left"/>
      <w:pPr>
        <w:ind w:left="5273" w:hanging="361"/>
      </w:pPr>
      <w:rPr>
        <w:rFonts w:hint="default"/>
        <w:lang w:val="es-ES" w:eastAsia="es-ES" w:bidi="es-ES"/>
      </w:rPr>
    </w:lvl>
    <w:lvl w:ilvl="6" w:tplc="1B46B350">
      <w:numFmt w:val="bullet"/>
      <w:lvlText w:val="•"/>
      <w:lvlJc w:val="left"/>
      <w:pPr>
        <w:ind w:left="6219" w:hanging="361"/>
      </w:pPr>
      <w:rPr>
        <w:rFonts w:hint="default"/>
        <w:lang w:val="es-ES" w:eastAsia="es-ES" w:bidi="es-ES"/>
      </w:rPr>
    </w:lvl>
    <w:lvl w:ilvl="7" w:tplc="A8A658EA">
      <w:numFmt w:val="bullet"/>
      <w:lvlText w:val="•"/>
      <w:lvlJc w:val="left"/>
      <w:pPr>
        <w:ind w:left="7166" w:hanging="361"/>
      </w:pPr>
      <w:rPr>
        <w:rFonts w:hint="default"/>
        <w:lang w:val="es-ES" w:eastAsia="es-ES" w:bidi="es-ES"/>
      </w:rPr>
    </w:lvl>
    <w:lvl w:ilvl="8" w:tplc="70A86154">
      <w:numFmt w:val="bullet"/>
      <w:lvlText w:val="•"/>
      <w:lvlJc w:val="left"/>
      <w:pPr>
        <w:ind w:left="8113" w:hanging="361"/>
      </w:pPr>
      <w:rPr>
        <w:rFonts w:hint="default"/>
        <w:lang w:val="es-ES" w:eastAsia="es-ES" w:bidi="es-ES"/>
      </w:rPr>
    </w:lvl>
  </w:abstractNum>
  <w:abstractNum w:abstractNumId="7" w15:restartNumberingAfterBreak="0">
    <w:nsid w:val="4F2049F6"/>
    <w:multiLevelType w:val="hybridMultilevel"/>
    <w:tmpl w:val="86145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3259A"/>
    <w:multiLevelType w:val="hybridMultilevel"/>
    <w:tmpl w:val="95C8A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62D23"/>
    <w:multiLevelType w:val="hybridMultilevel"/>
    <w:tmpl w:val="88467B7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27368"/>
    <w:multiLevelType w:val="hybridMultilevel"/>
    <w:tmpl w:val="67E4F956"/>
    <w:lvl w:ilvl="0" w:tplc="20D4B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01548"/>
    <w:multiLevelType w:val="hybridMultilevel"/>
    <w:tmpl w:val="A08A7F26"/>
    <w:lvl w:ilvl="0" w:tplc="44B0A8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0576F"/>
    <w:multiLevelType w:val="hybridMultilevel"/>
    <w:tmpl w:val="14964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47"/>
    <w:rsid w:val="000434CA"/>
    <w:rsid w:val="000529EF"/>
    <w:rsid w:val="0009230B"/>
    <w:rsid w:val="0009356C"/>
    <w:rsid w:val="000967A5"/>
    <w:rsid w:val="000C095B"/>
    <w:rsid w:val="000D2437"/>
    <w:rsid w:val="000D7959"/>
    <w:rsid w:val="000E1BB0"/>
    <w:rsid w:val="001318E5"/>
    <w:rsid w:val="00134CDF"/>
    <w:rsid w:val="00137497"/>
    <w:rsid w:val="00170047"/>
    <w:rsid w:val="001859C1"/>
    <w:rsid w:val="001B23A8"/>
    <w:rsid w:val="001D7649"/>
    <w:rsid w:val="001F74A1"/>
    <w:rsid w:val="0024273C"/>
    <w:rsid w:val="002473F6"/>
    <w:rsid w:val="002A3778"/>
    <w:rsid w:val="002A7841"/>
    <w:rsid w:val="002C5187"/>
    <w:rsid w:val="002D0370"/>
    <w:rsid w:val="002D73E8"/>
    <w:rsid w:val="002E1D29"/>
    <w:rsid w:val="002E3D05"/>
    <w:rsid w:val="00307AFC"/>
    <w:rsid w:val="0035121D"/>
    <w:rsid w:val="00362670"/>
    <w:rsid w:val="003A3759"/>
    <w:rsid w:val="003A4E50"/>
    <w:rsid w:val="003B4876"/>
    <w:rsid w:val="003E4682"/>
    <w:rsid w:val="004D24D1"/>
    <w:rsid w:val="004D65D3"/>
    <w:rsid w:val="004E32FD"/>
    <w:rsid w:val="004E7EF3"/>
    <w:rsid w:val="004F47ED"/>
    <w:rsid w:val="005101D9"/>
    <w:rsid w:val="00540A3A"/>
    <w:rsid w:val="00552B58"/>
    <w:rsid w:val="00570B3F"/>
    <w:rsid w:val="005845DA"/>
    <w:rsid w:val="00592EB9"/>
    <w:rsid w:val="005A2B5C"/>
    <w:rsid w:val="005B5141"/>
    <w:rsid w:val="005D5E5B"/>
    <w:rsid w:val="00623F32"/>
    <w:rsid w:val="006456C8"/>
    <w:rsid w:val="0064592A"/>
    <w:rsid w:val="00653438"/>
    <w:rsid w:val="0068118D"/>
    <w:rsid w:val="006A34C0"/>
    <w:rsid w:val="006B0E47"/>
    <w:rsid w:val="00730B52"/>
    <w:rsid w:val="00737106"/>
    <w:rsid w:val="0074401D"/>
    <w:rsid w:val="00745056"/>
    <w:rsid w:val="00755A69"/>
    <w:rsid w:val="00770164"/>
    <w:rsid w:val="007E4724"/>
    <w:rsid w:val="00820F84"/>
    <w:rsid w:val="0084395B"/>
    <w:rsid w:val="008A1F3E"/>
    <w:rsid w:val="008A3958"/>
    <w:rsid w:val="008A7CA8"/>
    <w:rsid w:val="008B452E"/>
    <w:rsid w:val="008D53E8"/>
    <w:rsid w:val="008F0075"/>
    <w:rsid w:val="00946D38"/>
    <w:rsid w:val="00961024"/>
    <w:rsid w:val="009D1F93"/>
    <w:rsid w:val="009E31C8"/>
    <w:rsid w:val="00A844B0"/>
    <w:rsid w:val="00AA5FDD"/>
    <w:rsid w:val="00AB6C97"/>
    <w:rsid w:val="00AC6BC3"/>
    <w:rsid w:val="00B02297"/>
    <w:rsid w:val="00B15055"/>
    <w:rsid w:val="00B15EE9"/>
    <w:rsid w:val="00B25EAB"/>
    <w:rsid w:val="00B65DAC"/>
    <w:rsid w:val="00B9424C"/>
    <w:rsid w:val="00BA51E8"/>
    <w:rsid w:val="00BB5280"/>
    <w:rsid w:val="00BC2DED"/>
    <w:rsid w:val="00BD5EC7"/>
    <w:rsid w:val="00BF21BA"/>
    <w:rsid w:val="00C00452"/>
    <w:rsid w:val="00C109EE"/>
    <w:rsid w:val="00C164D4"/>
    <w:rsid w:val="00C71820"/>
    <w:rsid w:val="00C76B41"/>
    <w:rsid w:val="00C777E6"/>
    <w:rsid w:val="00C820E7"/>
    <w:rsid w:val="00C834B8"/>
    <w:rsid w:val="00C86279"/>
    <w:rsid w:val="00C9368E"/>
    <w:rsid w:val="00CA4A96"/>
    <w:rsid w:val="00CF73E1"/>
    <w:rsid w:val="00D04330"/>
    <w:rsid w:val="00D31BC4"/>
    <w:rsid w:val="00D565B1"/>
    <w:rsid w:val="00DB606A"/>
    <w:rsid w:val="00E12A0A"/>
    <w:rsid w:val="00E411B9"/>
    <w:rsid w:val="00E645E0"/>
    <w:rsid w:val="00E73213"/>
    <w:rsid w:val="00E80692"/>
    <w:rsid w:val="00EE6A26"/>
    <w:rsid w:val="00F01FD6"/>
    <w:rsid w:val="00F258B9"/>
    <w:rsid w:val="00F31700"/>
    <w:rsid w:val="00F502F9"/>
    <w:rsid w:val="00F74491"/>
    <w:rsid w:val="00FA6054"/>
    <w:rsid w:val="00FC56F8"/>
    <w:rsid w:val="00FD7088"/>
    <w:rsid w:val="00FE3B51"/>
    <w:rsid w:val="00FE4FB0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18CC"/>
  <w15:docId w15:val="{49952073-1D8A-46E1-8451-D86EDB7B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047"/>
    <w:rPr>
      <w:rFonts w:ascii="Verdana" w:eastAsia="Verdana" w:hAnsi="Verdana" w:cs="Verdan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0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70047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170047"/>
    <w:pPr>
      <w:ind w:left="171" w:right="163"/>
      <w:jc w:val="both"/>
      <w:outlineLvl w:val="1"/>
    </w:pPr>
  </w:style>
  <w:style w:type="paragraph" w:customStyle="1" w:styleId="Ttulo21">
    <w:name w:val="Título 21"/>
    <w:basedOn w:val="Normal"/>
    <w:uiPriority w:val="1"/>
    <w:qFormat/>
    <w:rsid w:val="00170047"/>
    <w:pPr>
      <w:ind w:left="603"/>
      <w:jc w:val="both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Ttulo31">
    <w:name w:val="Título 31"/>
    <w:basedOn w:val="Normal"/>
    <w:uiPriority w:val="1"/>
    <w:qFormat/>
    <w:rsid w:val="00170047"/>
    <w:pPr>
      <w:ind w:left="603"/>
      <w:outlineLvl w:val="3"/>
    </w:pPr>
    <w:rPr>
      <w:rFonts w:ascii="Calibri" w:eastAsia="Calibri" w:hAnsi="Calibri" w:cs="Calibr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170047"/>
    <w:pPr>
      <w:ind w:left="531" w:hanging="361"/>
    </w:pPr>
  </w:style>
  <w:style w:type="paragraph" w:customStyle="1" w:styleId="TableParagraph">
    <w:name w:val="Table Paragraph"/>
    <w:basedOn w:val="Normal"/>
    <w:uiPriority w:val="1"/>
    <w:qFormat/>
    <w:rsid w:val="00170047"/>
    <w:pPr>
      <w:jc w:val="both"/>
    </w:pPr>
  </w:style>
  <w:style w:type="character" w:styleId="Hipervnculo">
    <w:name w:val="Hyperlink"/>
    <w:uiPriority w:val="99"/>
    <w:unhideWhenUsed/>
    <w:rsid w:val="00F258B9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F258B9"/>
    <w:pPr>
      <w:widowControl/>
      <w:autoSpaceDE/>
      <w:autoSpaceDN/>
      <w:spacing w:before="40" w:after="160" w:line="288" w:lineRule="auto"/>
      <w:jc w:val="both"/>
    </w:pPr>
    <w:rPr>
      <w:rFonts w:eastAsia="Calibri" w:cs="Times New Roman"/>
      <w:color w:val="595959"/>
      <w:kern w:val="20"/>
      <w:szCs w:val="20"/>
      <w:lang w:val="x-none" w:eastAsia="ja-JP" w:bidi="ar-SA"/>
    </w:rPr>
  </w:style>
  <w:style w:type="character" w:customStyle="1" w:styleId="CitaCar">
    <w:name w:val="Cita Car"/>
    <w:basedOn w:val="Fuentedeprrafopredeter"/>
    <w:link w:val="Cita"/>
    <w:uiPriority w:val="9"/>
    <w:rsid w:val="00F258B9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NormalWeb">
    <w:name w:val="Normal (Web)"/>
    <w:basedOn w:val="Normal"/>
    <w:uiPriority w:val="99"/>
    <w:unhideWhenUsed/>
    <w:rsid w:val="00F258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cabezado">
    <w:name w:val="header"/>
    <w:basedOn w:val="Normal"/>
    <w:link w:val="EncabezadoCar"/>
    <w:uiPriority w:val="99"/>
    <w:unhideWhenUsed/>
    <w:rsid w:val="00BF21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21BA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F21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1BA"/>
    <w:rPr>
      <w:rFonts w:ascii="Verdana" w:eastAsia="Verdana" w:hAnsi="Verdana" w:cs="Verdana"/>
      <w:lang w:val="es-ES" w:eastAsia="es-ES" w:bidi="es-ES"/>
    </w:rPr>
  </w:style>
  <w:style w:type="paragraph" w:customStyle="1" w:styleId="Portada-Subttulo">
    <w:name w:val="Portada-Subtítulo"/>
    <w:basedOn w:val="Normal"/>
    <w:link w:val="Portada-SubttuloCar"/>
    <w:autoRedefine/>
    <w:qFormat/>
    <w:rsid w:val="002473F6"/>
    <w:pPr>
      <w:suppressAutoHyphens/>
      <w:autoSpaceDE/>
      <w:autoSpaceDN/>
    </w:pPr>
    <w:rPr>
      <w:rFonts w:eastAsia="Times New Roman" w:cs="Times New Roman"/>
      <w:b/>
      <w:color w:val="FFFFFF" w:themeColor="background1"/>
      <w:sz w:val="36"/>
      <w:szCs w:val="36"/>
      <w:lang w:bidi="ar-SA"/>
    </w:rPr>
  </w:style>
  <w:style w:type="character" w:customStyle="1" w:styleId="Portada-SubttuloCar">
    <w:name w:val="Portada-Subtítulo Car"/>
    <w:link w:val="Portada-Subttulo"/>
    <w:rsid w:val="002473F6"/>
    <w:rPr>
      <w:rFonts w:ascii="Verdana" w:eastAsia="Times New Roman" w:hAnsi="Verdana" w:cs="Times New Roman"/>
      <w:b/>
      <w:color w:val="FFFFFF" w:themeColor="background1"/>
      <w:sz w:val="36"/>
      <w:szCs w:val="36"/>
      <w:lang w:val="es-ES" w:eastAsia="es-ES"/>
    </w:rPr>
  </w:style>
  <w:style w:type="character" w:styleId="nfasis">
    <w:name w:val="Emphasis"/>
    <w:basedOn w:val="Fuentedeprrafopredeter"/>
    <w:uiPriority w:val="20"/>
    <w:qFormat/>
    <w:rsid w:val="002473F6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755A69"/>
    <w:rPr>
      <w:color w:val="800080" w:themeColor="followedHyperlink"/>
      <w:u w:val="single"/>
    </w:rPr>
  </w:style>
  <w:style w:type="character" w:customStyle="1" w:styleId="whitespace-normal">
    <w:name w:val="whitespace-normal"/>
    <w:basedOn w:val="Fuentedeprrafopredeter"/>
    <w:rsid w:val="008D53E8"/>
  </w:style>
  <w:style w:type="character" w:styleId="Textoennegrita">
    <w:name w:val="Strong"/>
    <w:basedOn w:val="Fuentedeprrafopredeter"/>
    <w:uiPriority w:val="22"/>
    <w:qFormat/>
    <w:rsid w:val="00C9368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45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Ecastro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ternidad.com/Prensa/es-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raternidad.com/es-ES/galeria-imagenes/galeria-de-imagenes-xi-edicion-premios-escolastico-zaldiv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0046-011E-4DD3-91B4-C77D9AA8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1157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Jose Blázquez</cp:lastModifiedBy>
  <cp:revision>5</cp:revision>
  <dcterms:created xsi:type="dcterms:W3CDTF">2026-04-24T12:13:00Z</dcterms:created>
  <dcterms:modified xsi:type="dcterms:W3CDTF">2026-04-27T14:24:00Z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2019-04-23T00:00:00Z</vt:filetime>
  </property>
</Properties>
</file>