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BF2958">
              <w:rPr>
                <w:b/>
                <w:bCs/>
                <w:i/>
                <w:iCs/>
                <w:noProof/>
              </w:rPr>
              <w:fldChar w:fldCharType="begin"/>
            </w:r>
            <w:r w:rsidR="00BF2958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F2958">
              <w:rPr>
                <w:b/>
                <w:bCs/>
                <w:i/>
                <w:iCs/>
                <w:noProof/>
              </w:rPr>
              <w:fldChar w:fldCharType="separate"/>
            </w:r>
            <w:r w:rsidR="00E9052F">
              <w:rPr>
                <w:b/>
                <w:bCs/>
                <w:i/>
                <w:iCs/>
                <w:noProof/>
              </w:rPr>
              <w:fldChar w:fldCharType="begin"/>
            </w:r>
            <w:r w:rsidR="00E9052F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E9052F">
              <w:rPr>
                <w:b/>
                <w:bCs/>
                <w:i/>
                <w:iCs/>
                <w:noProof/>
              </w:rPr>
              <w:fldChar w:fldCharType="separate"/>
            </w:r>
            <w:r w:rsidR="001874D7">
              <w:rPr>
                <w:b/>
                <w:bCs/>
                <w:i/>
                <w:iCs/>
                <w:noProof/>
              </w:rPr>
              <w:fldChar w:fldCharType="begin"/>
            </w:r>
            <w:r w:rsidR="001874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1874D7">
              <w:rPr>
                <w:b/>
                <w:bCs/>
                <w:i/>
                <w:iCs/>
                <w:noProof/>
              </w:rPr>
              <w:fldChar w:fldCharType="separate"/>
            </w:r>
            <w:r w:rsidR="00B10DC3">
              <w:rPr>
                <w:b/>
                <w:bCs/>
                <w:i/>
                <w:iCs/>
                <w:noProof/>
              </w:rPr>
              <w:fldChar w:fldCharType="begin"/>
            </w:r>
            <w:r w:rsidR="00B10DC3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10DC3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B10DC3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10DC3">
              <w:rPr>
                <w:b/>
                <w:bCs/>
                <w:i/>
                <w:iCs/>
                <w:noProof/>
              </w:rPr>
              <w:fldChar w:fldCharType="separate"/>
            </w:r>
            <w:r w:rsidR="00B10DC3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B10DC3">
              <w:rPr>
                <w:b/>
                <w:bCs/>
                <w:i/>
                <w:iCs/>
                <w:noProof/>
              </w:rPr>
              <w:fldChar w:fldCharType="end"/>
            </w:r>
            <w:r w:rsidR="001874D7">
              <w:rPr>
                <w:b/>
                <w:bCs/>
                <w:i/>
                <w:iCs/>
                <w:noProof/>
              </w:rPr>
              <w:fldChar w:fldCharType="end"/>
            </w:r>
            <w:r w:rsidR="00E9052F">
              <w:rPr>
                <w:b/>
                <w:bCs/>
                <w:i/>
                <w:iCs/>
                <w:noProof/>
              </w:rPr>
              <w:fldChar w:fldCharType="end"/>
            </w:r>
            <w:r w:rsidR="00BF2958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Fraternidad</w:t>
            </w:r>
            <w:r w:rsidR="00E9052F">
              <w:rPr>
                <w:rFonts w:ascii="Verdana" w:hAnsi="Verdana"/>
                <w:b/>
                <w:color w:val="00B050"/>
                <w:sz w:val="24"/>
                <w:szCs w:val="24"/>
              </w:rPr>
              <w:t>-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BF2958">
              <w:rPr>
                <w:rFonts w:ascii="Verdana" w:hAnsi="Verdana"/>
                <w:b/>
                <w:color w:val="00B050"/>
                <w:sz w:val="24"/>
                <w:szCs w:val="24"/>
              </w:rPr>
              <w:t>155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euros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BF2958">
              <w:rPr>
                <w:rFonts w:ascii="Verdana" w:hAnsi="Verdana"/>
                <w:b/>
                <w:color w:val="00B050"/>
                <w:sz w:val="24"/>
                <w:szCs w:val="24"/>
              </w:rPr>
              <w:t>84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BF2958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Cantabria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 w:rsidR="001874D7"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BF2958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Santander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BF2958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 Cantabria </w:t>
            </w:r>
            <w:r w:rsidR="001A16B2" w:rsidRPr="001A16B2">
              <w:rPr>
                <w:rFonts w:ascii="Verdana" w:hAnsi="Verdana"/>
              </w:rPr>
              <w:t xml:space="preserve">se presentaron </w:t>
            </w:r>
            <w:r>
              <w:rPr>
                <w:rFonts w:ascii="Verdana" w:hAnsi="Verdana"/>
              </w:rPr>
              <w:t>87</w:t>
            </w:r>
            <w:r w:rsidR="001A16B2" w:rsidRPr="001A16B2">
              <w:rPr>
                <w:rFonts w:ascii="Verdana" w:hAnsi="Verdana"/>
              </w:rPr>
              <w:t xml:space="preserve"> 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Pr="001A16B2">
              <w:rPr>
                <w:rFonts w:ascii="Verdana" w:hAnsi="Verdana"/>
              </w:rPr>
              <w:t xml:space="preserve"> en</w:t>
            </w:r>
            <w:r w:rsidR="00BF2958">
              <w:rPr>
                <w:rFonts w:ascii="Verdana" w:hAnsi="Verdana"/>
              </w:rPr>
              <w:t xml:space="preserve"> Cantabria </w:t>
            </w:r>
            <w:r w:rsidRPr="001A16B2">
              <w:rPr>
                <w:rFonts w:ascii="Verdana" w:hAnsi="Verdana"/>
              </w:rPr>
              <w:t xml:space="preserve">durante la campaña </w:t>
            </w:r>
            <w:r w:rsidRPr="00E9052F">
              <w:rPr>
                <w:rFonts w:ascii="Verdana" w:hAnsi="Verdana"/>
              </w:rPr>
              <w:t xml:space="preserve">Bonus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BF2958">
              <w:rPr>
                <w:rFonts w:ascii="Verdana" w:hAnsi="Verdana"/>
              </w:rPr>
              <w:t>155</w:t>
            </w:r>
            <w:r w:rsidRPr="001A16B2">
              <w:rPr>
                <w:rFonts w:ascii="Verdana" w:hAnsi="Verdana"/>
              </w:rPr>
              <w:t>.000 euros. Las destinatarias fueron 8</w:t>
            </w:r>
            <w:r w:rsidR="00BF2958">
              <w:rPr>
                <w:rFonts w:ascii="Verdana" w:hAnsi="Verdana"/>
              </w:rPr>
              <w:t>4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BF2958">
              <w:rPr>
                <w:rFonts w:ascii="Verdana" w:hAnsi="Verdana"/>
              </w:rPr>
              <w:t>87</w:t>
            </w:r>
            <w:r w:rsidRPr="001A16B2">
              <w:rPr>
                <w:rFonts w:ascii="Verdana" w:hAnsi="Verdana"/>
              </w:rPr>
              <w:t xml:space="preserve"> 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E9052F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B10DC3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9052F" w:rsidRDefault="00E9052F" w:rsidP="00E9052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B10DC3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E9052F" w:rsidRDefault="00E9052F" w:rsidP="00E9052F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E9052F" w:rsidRDefault="00E9052F" w:rsidP="00E9052F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r w:rsidR="00B10DC3"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E9052F" w:rsidRDefault="00E9052F" w:rsidP="00E9052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9052F" w:rsidRDefault="00E9052F" w:rsidP="00E9052F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052F" w:rsidRDefault="00E9052F" w:rsidP="00E9052F">
            <w:pPr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B10DC3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B10DC3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874D7"/>
    <w:rsid w:val="001A16B2"/>
    <w:rsid w:val="00765F28"/>
    <w:rsid w:val="00A5142A"/>
    <w:rsid w:val="00B10DC3"/>
    <w:rsid w:val="00BF2958"/>
    <w:rsid w:val="00D11BBF"/>
    <w:rsid w:val="00D50051"/>
    <w:rsid w:val="00E9052F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7</cp:revision>
  <dcterms:created xsi:type="dcterms:W3CDTF">2020-05-13T16:25:00Z</dcterms:created>
  <dcterms:modified xsi:type="dcterms:W3CDTF">2020-05-14T09:42:00Z</dcterms:modified>
</cp:coreProperties>
</file>