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F" w:rsidRDefault="0054707F" w:rsidP="0054707F">
      <w:pPr>
        <w:jc w:val="both"/>
        <w:rPr>
          <w:color w:val="1F497D"/>
        </w:rPr>
      </w:pPr>
    </w:p>
    <w:tbl>
      <w:tblPr>
        <w:tblW w:w="9019" w:type="dxa"/>
        <w:jc w:val="center"/>
        <w:tblInd w:w="-269" w:type="dxa"/>
        <w:tblCellMar>
          <w:left w:w="0" w:type="dxa"/>
          <w:right w:w="0" w:type="dxa"/>
        </w:tblCellMar>
        <w:tblLook w:val="04A0"/>
      </w:tblPr>
      <w:tblGrid>
        <w:gridCol w:w="9431"/>
      </w:tblGrid>
      <w:tr w:rsidR="0054707F" w:rsidTr="0054707F">
        <w:trPr>
          <w:trHeight w:val="911"/>
          <w:jc w:val="center"/>
        </w:trPr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07F" w:rsidRDefault="0054707F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5325" cy="511810"/>
                  <wp:effectExtent l="0" t="0" r="0" b="254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07F" w:rsidRDefault="0054707F">
            <w:pPr>
              <w:jc w:val="both"/>
            </w:pPr>
          </w:p>
        </w:tc>
      </w:tr>
      <w:tr w:rsidR="0054707F" w:rsidTr="0054707F">
        <w:trPr>
          <w:trHeight w:val="144"/>
          <w:jc w:val="center"/>
        </w:trPr>
        <w:tc>
          <w:tcPr>
            <w:tcW w:w="901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7F" w:rsidRDefault="0054707F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54707F" w:rsidTr="0054707F">
        <w:trPr>
          <w:trHeight w:val="144"/>
          <w:jc w:val="center"/>
        </w:trPr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7F" w:rsidRDefault="005470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4707F" w:rsidTr="0054707F">
        <w:trPr>
          <w:trHeight w:val="144"/>
          <w:jc w:val="center"/>
        </w:trPr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07F" w:rsidRDefault="0054707F">
            <w:pPr>
              <w:autoSpaceDE w:val="0"/>
              <w:autoSpaceDN w:val="0"/>
              <w:jc w:val="both"/>
            </w:pPr>
          </w:p>
        </w:tc>
      </w:tr>
      <w:tr w:rsidR="0054707F" w:rsidTr="0054707F">
        <w:trPr>
          <w:trHeight w:val="144"/>
          <w:jc w:val="center"/>
        </w:trPr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7F" w:rsidRDefault="0054707F" w:rsidP="0054707F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El Seminario de Ingeniería Hospitalaria premia </w:t>
            </w:r>
          </w:p>
          <w:p w:rsidR="0054707F" w:rsidRDefault="0054707F" w:rsidP="003F0DA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a Olvido Arenas</w:t>
            </w:r>
            <w:r w:rsidR="003F0DA9">
              <w:rPr>
                <w:rFonts w:ascii="Verdana" w:hAnsi="Verdana"/>
                <w:b/>
                <w:color w:val="00B050"/>
              </w:rPr>
              <w:t xml:space="preserve"> de Fraternidad-Muprespa</w:t>
            </w:r>
          </w:p>
        </w:tc>
      </w:tr>
      <w:tr w:rsidR="0054707F" w:rsidTr="0054707F">
        <w:trPr>
          <w:trHeight w:val="144"/>
          <w:jc w:val="center"/>
        </w:trPr>
        <w:tc>
          <w:tcPr>
            <w:tcW w:w="9019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7F" w:rsidRDefault="005470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4707F" w:rsidTr="0054707F">
        <w:trPr>
          <w:trHeight w:val="10222"/>
          <w:jc w:val="center"/>
        </w:trPr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07F" w:rsidRDefault="0054707F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54707F" w:rsidRDefault="0054707F" w:rsidP="0009358E">
            <w:pPr>
              <w:jc w:val="both"/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Madrid, a </w:t>
            </w:r>
            <w:r w:rsidR="006B3127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30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octubre de 2018</w:t>
            </w:r>
          </w:p>
          <w:p w:rsidR="006B3127" w:rsidRPr="002B0C77" w:rsidRDefault="0054707F" w:rsidP="006B3127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</w:rPr>
            </w:pPr>
            <w:r w:rsidRPr="002B0C77">
              <w:rPr>
                <w:rFonts w:ascii="Verdana" w:hAnsi="Verdana"/>
                <w:color w:val="000000" w:themeColor="text1"/>
              </w:rPr>
              <w:t xml:space="preserve">La directora del departamento de </w:t>
            </w:r>
            <w:r w:rsidR="003F0DA9" w:rsidRPr="002B0C77">
              <w:rPr>
                <w:rFonts w:ascii="Verdana" w:hAnsi="Verdana"/>
                <w:color w:val="000000" w:themeColor="text1"/>
              </w:rPr>
              <w:t>P</w:t>
            </w:r>
            <w:r w:rsidRPr="002B0C77">
              <w:rPr>
                <w:rFonts w:ascii="Verdana" w:hAnsi="Verdana"/>
                <w:color w:val="000000" w:themeColor="text1"/>
              </w:rPr>
              <w:t>roducción</w:t>
            </w:r>
            <w:r w:rsidR="00D01F98" w:rsidRPr="002B0C77">
              <w:rPr>
                <w:rFonts w:ascii="Verdana" w:hAnsi="Verdana"/>
                <w:color w:val="000000" w:themeColor="text1"/>
              </w:rPr>
              <w:t xml:space="preserve">, </w:t>
            </w:r>
            <w:r w:rsidR="003F0DA9" w:rsidRPr="002B0C77">
              <w:rPr>
                <w:rFonts w:ascii="Verdana" w:hAnsi="Verdana"/>
                <w:color w:val="000000" w:themeColor="text1"/>
              </w:rPr>
              <w:t>S</w:t>
            </w:r>
            <w:r w:rsidRPr="002B0C77">
              <w:rPr>
                <w:rFonts w:ascii="Verdana" w:hAnsi="Verdana"/>
                <w:color w:val="000000" w:themeColor="text1"/>
              </w:rPr>
              <w:t xml:space="preserve">istemas </w:t>
            </w:r>
            <w:r w:rsidR="00D01F98" w:rsidRPr="002B0C77">
              <w:rPr>
                <w:rFonts w:ascii="Verdana" w:hAnsi="Verdana"/>
                <w:color w:val="000000" w:themeColor="text1"/>
              </w:rPr>
              <w:t xml:space="preserve">y </w:t>
            </w:r>
            <w:r w:rsidR="003F0DA9" w:rsidRPr="002B0C77">
              <w:rPr>
                <w:rFonts w:ascii="Verdana" w:hAnsi="Verdana"/>
                <w:color w:val="000000" w:themeColor="text1"/>
              </w:rPr>
              <w:t>C</w:t>
            </w:r>
            <w:r w:rsidR="00D01F98" w:rsidRPr="002B0C77">
              <w:rPr>
                <w:rFonts w:ascii="Verdana" w:hAnsi="Verdana"/>
                <w:color w:val="000000" w:themeColor="text1"/>
              </w:rPr>
              <w:t>omunicac</w:t>
            </w:r>
            <w:r w:rsidR="0009358E" w:rsidRPr="002B0C77">
              <w:rPr>
                <w:rFonts w:ascii="Verdana" w:hAnsi="Verdana"/>
                <w:color w:val="000000" w:themeColor="text1"/>
              </w:rPr>
              <w:t>iones</w:t>
            </w:r>
            <w:r w:rsidR="00D01F98" w:rsidRPr="002B0C77">
              <w:rPr>
                <w:rFonts w:ascii="Verdana" w:hAnsi="Verdana"/>
                <w:color w:val="000000" w:themeColor="text1"/>
              </w:rPr>
              <w:t xml:space="preserve"> </w:t>
            </w:r>
            <w:r w:rsidRPr="002B0C77">
              <w:rPr>
                <w:rFonts w:ascii="Verdana" w:hAnsi="Verdana"/>
                <w:color w:val="000000" w:themeColor="text1"/>
              </w:rPr>
              <w:t xml:space="preserve">de Fraternidad-Muprespa recibe el tercer premio a la mejor comunicación por su intervención en el </w:t>
            </w:r>
            <w:r w:rsidR="00BE3228" w:rsidRPr="002B0C77">
              <w:rPr>
                <w:rStyle w:val="Textoennegrita"/>
                <w:rFonts w:ascii="Verdana" w:hAnsi="Verdana" w:cs="Arial"/>
                <w:color w:val="000000" w:themeColor="text1"/>
              </w:rPr>
              <w:t>XXXVI</w:t>
            </w:r>
            <w:r w:rsidR="00BE3228" w:rsidRPr="002B0C77">
              <w:rPr>
                <w:rFonts w:ascii="Verdana" w:hAnsi="Verdana"/>
                <w:color w:val="000000" w:themeColor="text1"/>
              </w:rPr>
              <w:t xml:space="preserve"> </w:t>
            </w:r>
            <w:r w:rsidR="00BE3228" w:rsidRPr="002B0C77">
              <w:rPr>
                <w:rStyle w:val="Textoennegrita"/>
                <w:rFonts w:ascii="Verdana" w:hAnsi="Verdana" w:cs="Arial"/>
                <w:color w:val="000000" w:themeColor="text1"/>
              </w:rPr>
              <w:t>Seminario de Ingeniería Hospitalaria</w:t>
            </w:r>
            <w:r w:rsidRPr="002B0C77">
              <w:rPr>
                <w:rFonts w:ascii="Verdana" w:hAnsi="Verdana"/>
                <w:color w:val="000000" w:themeColor="text1"/>
              </w:rPr>
              <w:t xml:space="preserve"> celebrado en Zaragoza.</w:t>
            </w:r>
            <w:r w:rsidR="002B0C77" w:rsidRPr="002B0C77">
              <w:rPr>
                <w:rFonts w:ascii="Verdana" w:hAnsi="Verdana"/>
                <w:color w:val="000000" w:themeColor="text1"/>
              </w:rPr>
              <w:t xml:space="preserve"> </w:t>
            </w:r>
          </w:p>
          <w:p w:rsidR="0054707F" w:rsidRPr="0054707F" w:rsidRDefault="0054707F" w:rsidP="0054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 w:themeColor="text1"/>
              </w:rPr>
            </w:pPr>
            <w:r w:rsidRPr="0054707F">
              <w:rPr>
                <w:rStyle w:val="Textoennegrita"/>
                <w:rFonts w:ascii="Verdana" w:hAnsi="Verdana" w:cs="Arial"/>
                <w:color w:val="000000" w:themeColor="text1"/>
              </w:rPr>
              <w:t>Olvido Arenas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defendió la ponencia </w:t>
            </w:r>
            <w:r w:rsidR="00D01F98" w:rsidRPr="0054707F">
              <w:rPr>
                <w:rFonts w:ascii="Verdana" w:hAnsi="Verdana" w:cs="Arial"/>
                <w:color w:val="000000" w:themeColor="text1"/>
              </w:rPr>
              <w:t>“Certificación LEED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 Hospital Fraternidad–Muprespa Habana</w:t>
            </w:r>
            <w:r w:rsidR="00D01F98" w:rsidRPr="0054707F">
              <w:rPr>
                <w:rFonts w:ascii="Verdana" w:hAnsi="Verdana" w:cs="Arial"/>
                <w:color w:val="000000" w:themeColor="text1"/>
              </w:rPr>
              <w:t>”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 el pasado 18 de octubre en el </w:t>
            </w:r>
            <w:r w:rsidR="00D01F98" w:rsidRPr="0054707F">
              <w:rPr>
                <w:rFonts w:ascii="Verdana" w:hAnsi="Verdana" w:cs="Arial"/>
                <w:color w:val="000000" w:themeColor="text1"/>
              </w:rPr>
              <w:t>organizado por la Asociación Española de Ingeniería Hospitalaria.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 Desde la entidad han distinguido esta presentación, en la que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Arenas </w:t>
            </w:r>
            <w:r w:rsidRPr="0054707F">
              <w:rPr>
                <w:rFonts w:ascii="Verdana" w:hAnsi="Verdana" w:cs="Arial"/>
                <w:color w:val="000000" w:themeColor="text1"/>
              </w:rPr>
              <w:t>explic</w:t>
            </w:r>
            <w:r w:rsidR="00F56CA9">
              <w:rPr>
                <w:rFonts w:ascii="Verdana" w:hAnsi="Verdana" w:cs="Arial"/>
                <w:color w:val="000000" w:themeColor="text1"/>
              </w:rPr>
              <w:t>ó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las características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por las que el </w:t>
            </w:r>
            <w:r w:rsidRPr="0054707F">
              <w:rPr>
                <w:rFonts w:ascii="Verdana" w:hAnsi="Verdana" w:cs="Arial"/>
                <w:color w:val="000000" w:themeColor="text1"/>
              </w:rPr>
              <w:t>nuevo centro hospitalario pretende ser uno de los cuatro más sostenibles del mundo, y obtener el certificado LE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ED, que </w:t>
            </w:r>
            <w:r w:rsidRPr="0054707F">
              <w:rPr>
                <w:rFonts w:ascii="Verdana" w:hAnsi="Verdana" w:cs="Arial"/>
                <w:color w:val="000000" w:themeColor="text1"/>
              </w:rPr>
              <w:t>reconoce la excelencia en el diseño, construcción, operación y mantenimiento de edificios e instalaciones desde un punto de vista ambiental y de eficiencia energética.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 </w:t>
            </w:r>
          </w:p>
          <w:p w:rsidR="0054707F" w:rsidRPr="0054707F" w:rsidRDefault="0054707F" w:rsidP="0054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 w:themeColor="text1"/>
              </w:rPr>
            </w:pPr>
            <w:r w:rsidRPr="0054707F">
              <w:rPr>
                <w:rFonts w:ascii="Verdana" w:hAnsi="Verdana" w:cs="Arial"/>
                <w:color w:val="000000" w:themeColor="text1"/>
              </w:rPr>
              <w:t xml:space="preserve">“Estamos trabajando mucho para poder conseguir esta certificación gracias a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las </w:t>
            </w:r>
            <w:r w:rsidR="00D01F98">
              <w:rPr>
                <w:rFonts w:ascii="Verdana" w:hAnsi="Verdana" w:cs="Arial"/>
                <w:color w:val="000000" w:themeColor="text1"/>
              </w:rPr>
              <w:t>p</w:t>
            </w:r>
            <w:r w:rsidRPr="0054707F">
              <w:rPr>
                <w:rFonts w:ascii="Verdana" w:hAnsi="Verdana" w:cs="Arial"/>
                <w:color w:val="000000" w:themeColor="text1"/>
              </w:rPr>
              <w:t>restaciones en eficiencia y sostenibilidad. Somos pioneros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 en España en 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la certificación LEED </w:t>
            </w:r>
            <w:proofErr w:type="spellStart"/>
            <w:r w:rsidRPr="0054707F">
              <w:rPr>
                <w:rFonts w:ascii="Verdana" w:hAnsi="Verdana" w:cs="Arial"/>
                <w:color w:val="000000" w:themeColor="text1"/>
              </w:rPr>
              <w:t>Healthcare</w:t>
            </w:r>
            <w:proofErr w:type="spellEnd"/>
            <w:r w:rsidRPr="0054707F">
              <w:rPr>
                <w:rFonts w:ascii="Verdana" w:hAnsi="Verdana" w:cs="Arial"/>
                <w:color w:val="000000" w:themeColor="text1"/>
              </w:rPr>
              <w:t xml:space="preserve">, específica para centros sanitarios, y eso convierte a nuestro hospital en </w:t>
            </w:r>
            <w:r w:rsidR="00F56CA9">
              <w:rPr>
                <w:rFonts w:ascii="Verdana" w:hAnsi="Verdana" w:cs="Arial"/>
                <w:color w:val="000000" w:themeColor="text1"/>
              </w:rPr>
              <w:t>claro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54707F">
              <w:rPr>
                <w:rFonts w:ascii="Verdana" w:hAnsi="Verdana" w:cs="Arial"/>
                <w:color w:val="000000" w:themeColor="text1"/>
              </w:rPr>
              <w:t>referente. Todo lo que podamos contar sobre este proceso es una noveda</w:t>
            </w:r>
            <w:r w:rsidR="00E71FE8">
              <w:rPr>
                <w:rFonts w:ascii="Verdana" w:hAnsi="Verdana" w:cs="Arial"/>
                <w:color w:val="000000" w:themeColor="text1"/>
              </w:rPr>
              <w:t>d y es muy interesante” añadió.</w:t>
            </w:r>
          </w:p>
          <w:p w:rsidR="0054707F" w:rsidRPr="0054707F" w:rsidRDefault="0054707F" w:rsidP="0054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 w:themeColor="text1"/>
              </w:rPr>
            </w:pPr>
            <w:r w:rsidRPr="0054707F">
              <w:rPr>
                <w:rFonts w:ascii="Verdana" w:hAnsi="Verdana" w:cs="Arial"/>
                <w:color w:val="000000" w:themeColor="text1"/>
              </w:rPr>
              <w:t>Arenas, licenciada en Ingeniería Superior Industrial por la Universidad Politécnica de Madrid</w:t>
            </w:r>
            <w:r w:rsidR="0009358E">
              <w:rPr>
                <w:rFonts w:ascii="Verdana" w:hAnsi="Verdana" w:cs="Arial"/>
                <w:color w:val="000000" w:themeColor="text1"/>
              </w:rPr>
              <w:t xml:space="preserve">, </w:t>
            </w:r>
            <w:r w:rsidR="003F0DA9">
              <w:rPr>
                <w:rFonts w:ascii="Verdana" w:hAnsi="Verdana" w:cs="Arial"/>
                <w:color w:val="000000" w:themeColor="text1"/>
              </w:rPr>
              <w:t>trabaja</w:t>
            </w:r>
            <w:r w:rsidR="0009358E">
              <w:rPr>
                <w:rFonts w:ascii="Verdana" w:hAnsi="Verdana" w:cs="Arial"/>
                <w:color w:val="000000" w:themeColor="text1"/>
              </w:rPr>
              <w:t xml:space="preserve"> en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09358E">
              <w:rPr>
                <w:rFonts w:ascii="Verdana" w:hAnsi="Verdana" w:cs="Arial"/>
              </w:rPr>
              <w:t>Fraternidad-Muprespa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54707F">
              <w:rPr>
                <w:rFonts w:ascii="Verdana" w:hAnsi="Verdana" w:cs="Arial"/>
                <w:color w:val="000000" w:themeColor="text1"/>
              </w:rPr>
              <w:t>desde 1999,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 lleva ocho años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involucrada en el proyecto de</w:t>
            </w:r>
            <w:r w:rsidR="00D01F98">
              <w:rPr>
                <w:rFonts w:ascii="Verdana" w:hAnsi="Verdana" w:cs="Arial"/>
                <w:color w:val="000000" w:themeColor="text1"/>
              </w:rPr>
              <w:t>l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nuevo hospital. “El resultado final está </w:t>
            </w:r>
            <w:r w:rsidR="003F0DA9" w:rsidRPr="0054707F">
              <w:rPr>
                <w:rFonts w:ascii="Verdana" w:hAnsi="Verdana" w:cs="Arial"/>
                <w:color w:val="000000" w:themeColor="text1"/>
              </w:rPr>
              <w:t xml:space="preserve">ya por fin </w:t>
            </w:r>
            <w:r w:rsidRPr="0054707F">
              <w:rPr>
                <w:rFonts w:ascii="Verdana" w:hAnsi="Verdana" w:cs="Arial"/>
                <w:color w:val="000000" w:themeColor="text1"/>
              </w:rPr>
              <w:t>a la vista. Todos los que hemos participado y aún participa</w:t>
            </w:r>
            <w:r w:rsidR="00D01F98">
              <w:rPr>
                <w:rFonts w:ascii="Verdana" w:hAnsi="Verdana" w:cs="Arial"/>
                <w:color w:val="000000" w:themeColor="text1"/>
              </w:rPr>
              <w:t>mos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en el proceso nos sentimos 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realmente </w:t>
            </w:r>
            <w:r w:rsidRPr="0054707F">
              <w:rPr>
                <w:rFonts w:ascii="Verdana" w:hAnsi="Verdana" w:cs="Arial"/>
                <w:color w:val="000000" w:themeColor="text1"/>
              </w:rPr>
              <w:t>orgullosos de nuestro nuevo hospital y así lo transmitimos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 a quienes aún no lo conocen”. </w:t>
            </w:r>
          </w:p>
          <w:p w:rsidR="00F56CA9" w:rsidRDefault="0054707F" w:rsidP="00F56CA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 w:themeColor="text1"/>
              </w:rPr>
            </w:pPr>
            <w:r w:rsidRPr="0054707F">
              <w:rPr>
                <w:rFonts w:ascii="Verdana" w:hAnsi="Verdana" w:cs="Arial"/>
                <w:color w:val="000000" w:themeColor="text1"/>
              </w:rPr>
              <w:t xml:space="preserve">Considera que </w:t>
            </w:r>
            <w:r w:rsidR="00D01F98">
              <w:rPr>
                <w:rFonts w:ascii="Verdana" w:hAnsi="Verdana" w:cs="Arial"/>
                <w:color w:val="000000" w:themeColor="text1"/>
              </w:rPr>
              <w:t>e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l Hospital </w:t>
            </w:r>
            <w:r w:rsidRPr="0009358E">
              <w:rPr>
                <w:rFonts w:ascii="Verdana" w:hAnsi="Verdana" w:cs="Arial"/>
              </w:rPr>
              <w:t>Fraternidad-Muprespa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Habana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marcará 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un hito en la ingeniería hospitalaria porque el ahorro energético será del 42% con respecto al edificio </w:t>
            </w:r>
            <w:r w:rsidR="00D01F98">
              <w:rPr>
                <w:rFonts w:ascii="Verdana" w:hAnsi="Verdana" w:cs="Arial"/>
                <w:color w:val="000000" w:themeColor="text1"/>
              </w:rPr>
              <w:t>anterior</w:t>
            </w:r>
            <w:r w:rsidRPr="0054707F">
              <w:rPr>
                <w:rFonts w:ascii="Verdana" w:hAnsi="Verdana" w:cs="Arial"/>
                <w:color w:val="000000" w:themeColor="text1"/>
              </w:rPr>
              <w:t>. “Es complicado que un hospital en uso pueda llegar a es</w:t>
            </w:r>
            <w:r w:rsidR="00D01F98">
              <w:rPr>
                <w:rFonts w:ascii="Verdana" w:hAnsi="Verdana" w:cs="Arial"/>
                <w:color w:val="000000" w:themeColor="text1"/>
              </w:rPr>
              <w:t>e n</w:t>
            </w:r>
            <w:r w:rsidRPr="0054707F">
              <w:rPr>
                <w:rFonts w:ascii="Verdana" w:hAnsi="Verdana" w:cs="Arial"/>
                <w:color w:val="000000" w:themeColor="text1"/>
              </w:rPr>
              <w:t>ivel de eficiencia</w:t>
            </w:r>
            <w:r w:rsidR="00F56CA9">
              <w:rPr>
                <w:rFonts w:ascii="Verdana" w:hAnsi="Verdana" w:cs="Arial"/>
                <w:color w:val="000000" w:themeColor="text1"/>
              </w:rPr>
              <w:t>. L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as obras paralizarían 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su </w:t>
            </w:r>
            <w:r w:rsidRPr="0054707F">
              <w:rPr>
                <w:rFonts w:ascii="Verdana" w:hAnsi="Verdana" w:cs="Arial"/>
                <w:color w:val="000000" w:themeColor="text1"/>
              </w:rPr>
              <w:t>actividad”</w:t>
            </w:r>
            <w:r w:rsidR="00F56CA9">
              <w:rPr>
                <w:rFonts w:ascii="Verdana" w:hAnsi="Verdana" w:cs="Arial"/>
                <w:color w:val="000000" w:themeColor="text1"/>
              </w:rPr>
              <w:t>, añadió.</w:t>
            </w:r>
          </w:p>
          <w:p w:rsidR="0054707F" w:rsidRPr="0054707F" w:rsidRDefault="0054707F" w:rsidP="00F56CA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 w:themeColor="text1"/>
              </w:rPr>
            </w:pPr>
            <w:r w:rsidRPr="0054707F">
              <w:rPr>
                <w:rFonts w:ascii="Verdana" w:hAnsi="Verdana" w:cs="Arial"/>
                <w:color w:val="000000" w:themeColor="text1"/>
              </w:rPr>
              <w:t xml:space="preserve">Junto a Olvido Arenas </w:t>
            </w:r>
            <w:r w:rsidR="00E71FE8">
              <w:rPr>
                <w:rFonts w:ascii="Verdana" w:hAnsi="Verdana" w:cs="Arial"/>
                <w:color w:val="000000" w:themeColor="text1"/>
              </w:rPr>
              <w:t xml:space="preserve">participó también </w:t>
            </w:r>
            <w:r w:rsidRPr="0054707F">
              <w:rPr>
                <w:rStyle w:val="Textoennegrita"/>
                <w:rFonts w:ascii="Verdana" w:hAnsi="Verdana" w:cs="Arial"/>
                <w:color w:val="000000" w:themeColor="text1"/>
              </w:rPr>
              <w:t>Pedro Serrera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, subdirector general de Sistemas de Información y Servicios, que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detalló 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en su </w:t>
            </w:r>
            <w:r w:rsidRPr="0054707F">
              <w:rPr>
                <w:rFonts w:ascii="Verdana" w:hAnsi="Verdana" w:cs="Arial"/>
                <w:color w:val="000000" w:themeColor="text1"/>
              </w:rPr>
              <w:lastRenderedPageBreak/>
              <w:t>exposición “</w:t>
            </w:r>
            <w:r w:rsidR="00D01F98">
              <w:rPr>
                <w:rFonts w:ascii="Verdana" w:hAnsi="Verdana" w:cs="Arial"/>
                <w:color w:val="000000" w:themeColor="text1"/>
              </w:rPr>
              <w:t xml:space="preserve">El Hospital digital. </w:t>
            </w:r>
            <w:r w:rsidRPr="0054707F">
              <w:rPr>
                <w:rFonts w:ascii="Verdana" w:hAnsi="Verdana" w:cs="Arial"/>
                <w:color w:val="000000" w:themeColor="text1"/>
              </w:rPr>
              <w:t>En torno al paciente digital”</w:t>
            </w:r>
            <w:r w:rsidR="003F0DA9">
              <w:rPr>
                <w:rFonts w:ascii="Verdana" w:hAnsi="Verdana" w:cs="Arial"/>
                <w:color w:val="000000" w:themeColor="text1"/>
              </w:rPr>
              <w:t>,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cómo este nuevo centro </w:t>
            </w:r>
            <w:r w:rsidRPr="0054707F">
              <w:rPr>
                <w:rFonts w:ascii="Verdana" w:hAnsi="Verdana" w:cs="Arial"/>
                <w:color w:val="000000" w:themeColor="text1"/>
              </w:rPr>
              <w:t xml:space="preserve">pretende crear un nuevo modelo de relación con el paciente aprovechando la tecnología digital. Entre el catálogo de servicios que ofrecerá destaca la cobertura </w:t>
            </w:r>
            <w:proofErr w:type="spellStart"/>
            <w:r w:rsidRPr="0054707F">
              <w:rPr>
                <w:rFonts w:ascii="Verdana" w:hAnsi="Verdana" w:cs="Arial"/>
                <w:color w:val="000000" w:themeColor="text1"/>
              </w:rPr>
              <w:t>wifi</w:t>
            </w:r>
            <w:proofErr w:type="spellEnd"/>
            <w:r w:rsidRPr="0054707F">
              <w:rPr>
                <w:rFonts w:ascii="Verdana" w:hAnsi="Verdana" w:cs="Arial"/>
                <w:color w:val="000000" w:themeColor="text1"/>
              </w:rPr>
              <w:t xml:space="preserve"> en todo el centro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, la </w:t>
            </w:r>
            <w:r w:rsidRPr="0054707F">
              <w:rPr>
                <w:rFonts w:ascii="Verdana" w:hAnsi="Verdana" w:cs="Arial"/>
                <w:color w:val="000000" w:themeColor="text1"/>
              </w:rPr>
              <w:t>historia clínica electrónic</w:t>
            </w:r>
            <w:r w:rsidR="00F56CA9">
              <w:rPr>
                <w:rFonts w:ascii="Verdana" w:hAnsi="Verdana" w:cs="Arial"/>
                <w:color w:val="000000" w:themeColor="text1"/>
              </w:rPr>
              <w:t xml:space="preserve">a o </w:t>
            </w:r>
            <w:r w:rsidRPr="0054707F">
              <w:rPr>
                <w:rFonts w:ascii="Verdana" w:hAnsi="Verdana" w:cs="Arial"/>
                <w:color w:val="000000" w:themeColor="text1"/>
              </w:rPr>
              <w:t>quir</w:t>
            </w:r>
            <w:r w:rsidR="00E71FE8">
              <w:rPr>
                <w:rFonts w:ascii="Verdana" w:hAnsi="Verdana" w:cs="Arial"/>
                <w:color w:val="000000" w:themeColor="text1"/>
              </w:rPr>
              <w:t>ófanos integrados digitalmente.</w:t>
            </w:r>
          </w:p>
          <w:p w:rsidR="0054707F" w:rsidRPr="0054707F" w:rsidRDefault="00F56CA9" w:rsidP="00F56C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Verdana" w:eastAsia="Times New Roman" w:hAnsi="Verdana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435523" cy="3333423"/>
                  <wp:effectExtent l="0" t="0" r="3175" b="63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entación Olvido O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454" cy="33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tbl>
            <w:tblPr>
              <w:tblW w:w="9214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215"/>
            </w:tblGrid>
            <w:tr w:rsidR="0054707F" w:rsidTr="00665118">
              <w:trPr>
                <w:trHeight w:val="565"/>
                <w:jc w:val="center"/>
              </w:trPr>
              <w:tc>
                <w:tcPr>
                  <w:tcW w:w="921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899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99"/>
                  </w:tblGrid>
                  <w:tr w:rsidR="0054707F" w:rsidTr="00665118">
                    <w:trPr>
                      <w:trHeight w:val="565"/>
                      <w:jc w:val="center"/>
                    </w:trPr>
                    <w:tc>
                      <w:tcPr>
                        <w:tcW w:w="8999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54707F" w:rsidRDefault="00F56CA9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  <w:r w:rsidR="0054707F">
                          <w:rPr>
                            <w:b/>
                          </w:rPr>
                          <w:t>obre Fraternidad-Muprespa:</w:t>
                        </w:r>
                      </w:p>
                      <w:p w:rsidR="0054707F" w:rsidRDefault="0054707F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eastAsia="es-ES"/>
                          </w:rPr>
                          <w:t>Tiene asociadas 117.000 empresas y 1.239.000 trabajadores, velando por ellos, una plantilla de 2.035 empleados y 122 centros asistenciales y administrativos en toda España.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 xml:space="preserve"> </w:t>
                        </w:r>
                      </w:p>
                      <w:p w:rsidR="0054707F" w:rsidRDefault="0054707F">
                        <w:pPr>
                          <w:spacing w:before="200"/>
                          <w:jc w:val="both"/>
                        </w:pPr>
                        <w:r>
                          <w:t xml:space="preserve">Fraternidad-Muprespa se esfuerza por la excelencia y calidad en sus servicios, obteniendo la certificación del Sistema de Gestión de la Calidad para casi un centenar de sus centros, el certificado oficial de la </w:t>
                        </w:r>
                        <w:r>
                          <w:rPr>
                            <w:i/>
                          </w:rPr>
                          <w:t>Marca de Garantía Madrid Excelente</w:t>
                        </w:r>
                        <w:r>
                          <w:t xml:space="preserve"> y la </w:t>
                        </w:r>
                        <w:r>
                          <w:rPr>
                            <w:i/>
                          </w:rPr>
                          <w:t>Acreditación QH</w:t>
                        </w:r>
                        <w:r>
                          <w:t>, entre otras.</w:t>
                        </w:r>
                      </w:p>
                      <w:p w:rsidR="0054707F" w:rsidRDefault="0054707F">
                        <w:pPr>
                          <w:jc w:val="both"/>
                        </w:pPr>
                      </w:p>
                      <w:p w:rsidR="0054707F" w:rsidRDefault="0054707F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>
                          <w:rPr>
                            <w:i/>
                          </w:rPr>
                          <w:t>Pacto Mundial de las Naciones Unidas</w:t>
                        </w:r>
                        <w:r>
                          <w:t xml:space="preserve"> desde 2011, al </w:t>
                        </w:r>
                        <w:r>
                          <w:rPr>
                            <w:i/>
                          </w:rPr>
                          <w:t>Chárter de la Diversidad</w:t>
                        </w:r>
                        <w:r>
                          <w:t xml:space="preserve"> y ha recibido el </w:t>
                        </w:r>
                        <w:r>
                          <w:rPr>
                            <w:i/>
                          </w:rPr>
                          <w:t>Distintivo de Igualdad en la Empresa</w:t>
                        </w:r>
                        <w:r>
                          <w:t xml:space="preserve"> que otorga el Ministerio de Sanidad, Servicios Sociales e Igualdad, la </w:t>
                        </w:r>
                        <w:r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>
                          <w:rPr>
                            <w:i/>
                          </w:rPr>
                          <w:t>Bequal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categoría PLUS </w:t>
                        </w:r>
                        <w:r>
                          <w:t xml:space="preserve">y el premio a la Accesibilidad DIGA 2017. El movimiento “Somos saludables” promueve durante el 2018 la mejora de la salud y el bienestar de todos los trabajadores, tanto de las empresas mutualistas como propios. </w:t>
                        </w:r>
                        <w:hyperlink r:id="rId8" w:history="1">
                          <w:r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>
                          <w:t xml:space="preserve"> </w:t>
                        </w:r>
                      </w:p>
                    </w:tc>
                  </w:tr>
                  <w:tr w:rsidR="0054707F" w:rsidTr="00665118">
                    <w:trPr>
                      <w:trHeight w:val="271"/>
                      <w:jc w:val="center"/>
                    </w:trPr>
                    <w:tc>
                      <w:tcPr>
                        <w:tcW w:w="8999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707F" w:rsidRDefault="0054707F" w:rsidP="003F0DA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54707F" w:rsidRDefault="00433600" w:rsidP="003F0DA9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54707F">
                            <w:rPr>
                              <w:rStyle w:val="Hipervnculo"/>
                              <w:b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gabineteprensa@fraternidad.com</w:t>
                          </w:r>
                        </w:hyperlink>
                      </w:p>
                      <w:p w:rsidR="0054707F" w:rsidRDefault="0054707F" w:rsidP="003F0DA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54707F" w:rsidRDefault="0054707F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4707F" w:rsidTr="00665118">
              <w:trPr>
                <w:trHeight w:val="271"/>
                <w:jc w:val="center"/>
              </w:trPr>
              <w:tc>
                <w:tcPr>
                  <w:tcW w:w="921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707F" w:rsidRDefault="0054707F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54707F" w:rsidRDefault="0054707F">
            <w:pPr>
              <w:jc w:val="both"/>
              <w:rPr>
                <w:rFonts w:ascii="Verdana" w:hAnsi="Verdana"/>
              </w:rPr>
            </w:pPr>
          </w:p>
        </w:tc>
      </w:tr>
    </w:tbl>
    <w:p w:rsidR="0054707F" w:rsidRDefault="0054707F" w:rsidP="00665118"/>
    <w:sectPr w:rsidR="0054707F" w:rsidSect="00D62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55A99"/>
    <w:multiLevelType w:val="hybridMultilevel"/>
    <w:tmpl w:val="DAAC7A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70055"/>
    <w:rsid w:val="00006508"/>
    <w:rsid w:val="0009358E"/>
    <w:rsid w:val="002B0C77"/>
    <w:rsid w:val="00312A16"/>
    <w:rsid w:val="003F0DA9"/>
    <w:rsid w:val="00433600"/>
    <w:rsid w:val="00460D49"/>
    <w:rsid w:val="0054707F"/>
    <w:rsid w:val="005D59DC"/>
    <w:rsid w:val="00665118"/>
    <w:rsid w:val="006B3127"/>
    <w:rsid w:val="009A5F34"/>
    <w:rsid w:val="00BE3228"/>
    <w:rsid w:val="00C237F3"/>
    <w:rsid w:val="00D01F98"/>
    <w:rsid w:val="00D62E8B"/>
    <w:rsid w:val="00E71FE8"/>
    <w:rsid w:val="00F149E1"/>
    <w:rsid w:val="00F56CA9"/>
    <w:rsid w:val="00F7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7F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5470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7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9"/>
    <w:qFormat/>
    <w:rsid w:val="0054707F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eastAsia="ja-JP"/>
    </w:rPr>
  </w:style>
  <w:style w:type="character" w:customStyle="1" w:styleId="CitaCar">
    <w:name w:val="Cita Car"/>
    <w:basedOn w:val="Fuentedeprrafopredeter"/>
    <w:link w:val="Cita"/>
    <w:uiPriority w:val="9"/>
    <w:rsid w:val="0054707F"/>
    <w:rPr>
      <w:rFonts w:ascii="Verdana" w:eastAsia="Calibri" w:hAnsi="Verdana" w:cs="Times New Roman"/>
      <w:color w:val="595959"/>
      <w:kern w:val="20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7F"/>
    <w:rPr>
      <w:rFonts w:ascii="Tahoma" w:eastAsia="Calibri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4707F"/>
    <w:rPr>
      <w:b/>
      <w:bCs/>
    </w:rPr>
  </w:style>
  <w:style w:type="paragraph" w:customStyle="1" w:styleId="text-align-center">
    <w:name w:val="text-align-center"/>
    <w:basedOn w:val="Normal"/>
    <w:rsid w:val="00547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B3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7F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5470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7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9"/>
    <w:qFormat/>
    <w:rsid w:val="0054707F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54707F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7F"/>
    <w:rPr>
      <w:rFonts w:ascii="Tahoma" w:eastAsia="Calibri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4707F"/>
    <w:rPr>
      <w:b/>
      <w:bCs/>
    </w:rPr>
  </w:style>
  <w:style w:type="paragraph" w:customStyle="1" w:styleId="text-align-center">
    <w:name w:val="text-align-center"/>
    <w:basedOn w:val="Normal"/>
    <w:rsid w:val="00547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dfsnas\usr\VARIOS\Cervantes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Instalador</cp:lastModifiedBy>
  <cp:revision>5</cp:revision>
  <dcterms:created xsi:type="dcterms:W3CDTF">2018-10-26T12:56:00Z</dcterms:created>
  <dcterms:modified xsi:type="dcterms:W3CDTF">2018-10-30T12:54:00Z</dcterms:modified>
</cp:coreProperties>
</file>