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45B3BEC6" w:rsidR="003643C0" w:rsidRPr="000501D0" w:rsidRDefault="00D657E4" w:rsidP="00FB3000">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497650">
              <w:rPr>
                <w:rFonts w:ascii="Verdana" w:hAnsi="Verdana"/>
                <w:b/>
                <w:color w:val="00B050"/>
                <w:sz w:val="32"/>
                <w:szCs w:val="31"/>
              </w:rPr>
              <w:t>62</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w:t>
            </w:r>
            <w:r w:rsidR="00FB3000">
              <w:rPr>
                <w:rFonts w:ascii="Verdana" w:hAnsi="Verdana"/>
                <w:b/>
                <w:color w:val="00B050"/>
                <w:sz w:val="32"/>
                <w:szCs w:val="31"/>
              </w:rPr>
              <w:t xml:space="preserve"> Murcia</w:t>
            </w:r>
            <w:r>
              <w:rPr>
                <w:rFonts w:ascii="Verdana" w:hAnsi="Verdana"/>
                <w:b/>
                <w:color w:val="00B050"/>
                <w:sz w:val="32"/>
                <w:szCs w:val="31"/>
              </w:rPr>
              <w:t xml:space="preserve"> 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0B132BD2"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497650">
              <w:rPr>
                <w:rFonts w:ascii="Verdana" w:hAnsi="Verdana" w:cs="Arial"/>
                <w:b/>
                <w:spacing w:val="-3"/>
                <w:lang w:val="es-ES_tradnl"/>
              </w:rPr>
              <w:t>2</w:t>
            </w:r>
            <w:r w:rsidR="00FB3000">
              <w:rPr>
                <w:rFonts w:ascii="Verdana" w:hAnsi="Verdana" w:cs="Arial"/>
                <w:b/>
                <w:spacing w:val="-3"/>
                <w:lang w:val="es-ES_tradnl"/>
              </w:rPr>
              <w:t>7</w:t>
            </w:r>
            <w:r>
              <w:rPr>
                <w:rFonts w:ascii="Verdana" w:hAnsi="Verdana" w:cs="Arial"/>
                <w:b/>
                <w:spacing w:val="-3"/>
                <w:lang w:val="es-ES_tradnl"/>
              </w:rPr>
              <w:t>%.</w:t>
            </w:r>
          </w:p>
          <w:p w14:paraId="78B1CCC1" w14:textId="62DF5DC4" w:rsidR="00875EB5" w:rsidRPr="00701776"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497650">
              <w:rPr>
                <w:rFonts w:ascii="Verdana" w:hAnsi="Verdana" w:cs="Arial"/>
                <w:b/>
                <w:spacing w:val="-3"/>
                <w:lang w:val="es-ES_tradnl"/>
              </w:rPr>
              <w:t>atos se presentaron el pasado 1</w:t>
            </w:r>
            <w:r w:rsidR="00FB3000">
              <w:rPr>
                <w:rFonts w:ascii="Verdana" w:hAnsi="Verdana" w:cs="Arial"/>
                <w:b/>
                <w:spacing w:val="-3"/>
                <w:lang w:val="es-ES_tradnl"/>
              </w:rPr>
              <w:t>8</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FB3000">
              <w:rPr>
                <w:rFonts w:ascii="Verdana" w:hAnsi="Verdana" w:cs="Arial"/>
                <w:b/>
                <w:spacing w:val="-3"/>
                <w:lang w:val="es-ES_tradnl"/>
              </w:rPr>
              <w:t xml:space="preserve">Murcia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15089283" w14:textId="6F768C65" w:rsidR="00C6784C" w:rsidRPr="00C6784C" w:rsidRDefault="00C6784C" w:rsidP="00C76DA6">
            <w:pPr>
              <w:pStyle w:val="Prrafodelista"/>
              <w:ind w:left="360"/>
              <w:rPr>
                <w:rFonts w:ascii="Verdana" w:hAnsi="Verdana" w:cs="Arial"/>
                <w:b/>
                <w:spacing w:val="-3"/>
                <w:lang w:val="es-ES_tradnl"/>
              </w:rPr>
            </w:pPr>
          </w:p>
          <w:p w14:paraId="13A9356B" w14:textId="2D79286A" w:rsidR="00D657E4" w:rsidRPr="00875EB5" w:rsidRDefault="00FB3000" w:rsidP="00C76DA6">
            <w:pPr>
              <w:jc w:val="both"/>
              <w:rPr>
                <w:rFonts w:ascii="Verdana" w:hAnsi="Verdana"/>
                <w:sz w:val="23"/>
                <w:szCs w:val="23"/>
              </w:rPr>
            </w:pPr>
            <w:r>
              <w:rPr>
                <w:rFonts w:ascii="Verdana" w:hAnsi="Verdana"/>
                <w:b/>
                <w:bCs/>
                <w:color w:val="FF7F50"/>
                <w:sz w:val="23"/>
                <w:szCs w:val="23"/>
              </w:rPr>
              <w:t>Murcia</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1</w:t>
            </w:r>
            <w:r>
              <w:rPr>
                <w:rFonts w:ascii="Verdana" w:hAnsi="Verdana"/>
                <w:b/>
                <w:bCs/>
                <w:color w:val="FF7F50"/>
                <w:sz w:val="23"/>
                <w:szCs w:val="23"/>
              </w:rPr>
              <w:t>9</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8</w:t>
            </w:r>
            <w:r w:rsidR="00D657E4" w:rsidRPr="00701776">
              <w:rPr>
                <w:rFonts w:ascii="Verdana" w:hAnsi="Verdana"/>
                <w:sz w:val="23"/>
                <w:szCs w:val="23"/>
              </w:rPr>
              <w:t xml:space="preserve"> de noviembre tuvo lugar en la sede de </w:t>
            </w:r>
            <w:r w:rsidR="00BB253D" w:rsidRPr="00701776">
              <w:rPr>
                <w:rFonts w:ascii="Verdana" w:hAnsi="Verdana"/>
                <w:sz w:val="23"/>
                <w:szCs w:val="23"/>
              </w:rPr>
              <w:t>la Mutua</w:t>
            </w:r>
            <w:r w:rsidR="00701776">
              <w:rPr>
                <w:rFonts w:ascii="Verdana" w:hAnsi="Verdana"/>
                <w:sz w:val="23"/>
                <w:szCs w:val="23"/>
              </w:rPr>
              <w:t xml:space="preserve"> </w:t>
            </w:r>
            <w:r w:rsidR="00D657E4" w:rsidRPr="00875EB5">
              <w:rPr>
                <w:rFonts w:ascii="Verdana" w:hAnsi="Verdana"/>
                <w:sz w:val="23"/>
                <w:szCs w:val="23"/>
              </w:rPr>
              <w:t xml:space="preserve">una jornada sobre </w:t>
            </w:r>
            <w:r w:rsidR="00D657E4" w:rsidRPr="00875EB5">
              <w:rPr>
                <w:rFonts w:ascii="Verdana" w:hAnsi="Verdana"/>
                <w:b/>
                <w:bCs/>
                <w:sz w:val="23"/>
                <w:szCs w:val="23"/>
              </w:rPr>
              <w:t>“</w:t>
            </w:r>
            <w:r w:rsidR="00497650">
              <w:rPr>
                <w:rFonts w:ascii="Verdana" w:hAnsi="Verdana"/>
                <w:b/>
                <w:bCs/>
                <w:sz w:val="23"/>
                <w:szCs w:val="23"/>
              </w:rPr>
              <w:t>Nuevos escenarios de movilidad y SVL Urbana</w:t>
            </w:r>
            <w:r w:rsidR="00D657E4" w:rsidRPr="00875EB5">
              <w:rPr>
                <w:rFonts w:ascii="Verdana" w:hAnsi="Verdana"/>
                <w:b/>
                <w:bCs/>
                <w:sz w:val="23"/>
                <w:szCs w:val="23"/>
              </w:rPr>
              <w:t>”.</w:t>
            </w:r>
            <w:r w:rsidR="00D657E4" w:rsidRPr="00875EB5">
              <w:rPr>
                <w:rStyle w:val="Textoennegrita"/>
                <w:rFonts w:ascii="Arial" w:hAnsi="Arial" w:cs="Arial"/>
                <w:sz w:val="23"/>
                <w:szCs w:val="23"/>
              </w:rPr>
              <w:t xml:space="preserve"> </w:t>
            </w:r>
            <w:r w:rsidR="00D657E4" w:rsidRPr="00875EB5">
              <w:rPr>
                <w:rFonts w:ascii="Verdana" w:hAnsi="Verdana"/>
                <w:sz w:val="23"/>
                <w:szCs w:val="23"/>
              </w:rPr>
              <w:t xml:space="preserve">  </w:t>
            </w:r>
          </w:p>
          <w:p w14:paraId="653FF7EE" w14:textId="3936C96F" w:rsidR="00875EB5" w:rsidRPr="00875EB5" w:rsidRDefault="00875EB5" w:rsidP="00C76DA6">
            <w:pPr>
              <w:jc w:val="both"/>
              <w:rPr>
                <w:rFonts w:ascii="Verdana" w:hAnsi="Verdana"/>
                <w:sz w:val="23"/>
                <w:szCs w:val="23"/>
              </w:rPr>
            </w:pPr>
          </w:p>
          <w:p w14:paraId="336821AD" w14:textId="056E8828"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497650">
              <w:rPr>
                <w:rFonts w:ascii="Verdana" w:hAnsi="Verdana"/>
                <w:b/>
                <w:sz w:val="23"/>
                <w:szCs w:val="23"/>
              </w:rPr>
              <w:t>62</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FB3000">
              <w:rPr>
                <w:rFonts w:ascii="Verdana" w:hAnsi="Verdana"/>
                <w:b/>
                <w:sz w:val="23"/>
                <w:szCs w:val="23"/>
              </w:rPr>
              <w:t xml:space="preserve">Murcia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2</w:t>
            </w:r>
            <w:r w:rsidR="00FB3000">
              <w:rPr>
                <w:rFonts w:ascii="Verdana" w:hAnsi="Verdana"/>
                <w:b/>
                <w:sz w:val="23"/>
                <w:szCs w:val="23"/>
              </w:rPr>
              <w:t>7</w:t>
            </w:r>
            <w:r w:rsidRPr="00BE597B">
              <w:rPr>
                <w:rFonts w:ascii="Verdana" w:hAnsi="Verdana"/>
                <w:b/>
                <w:sz w:val="23"/>
                <w:szCs w:val="23"/>
              </w:rPr>
              <w:t>%.</w:t>
            </w:r>
          </w:p>
          <w:p w14:paraId="76E7D9A2" w14:textId="607B1D12" w:rsidR="00875EB5" w:rsidRPr="00875EB5" w:rsidRDefault="00875EB5" w:rsidP="00C76DA6">
            <w:pPr>
              <w:jc w:val="both"/>
              <w:rPr>
                <w:rFonts w:ascii="Verdana" w:hAnsi="Verdana"/>
                <w:sz w:val="23"/>
                <w:szCs w:val="23"/>
              </w:rPr>
            </w:pPr>
          </w:p>
          <w:p w14:paraId="3C0C6800" w14:textId="70A8871E" w:rsidR="00FB3000" w:rsidRPr="00FB3000" w:rsidRDefault="00497650" w:rsidP="00FB3000">
            <w:pPr>
              <w:jc w:val="both"/>
              <w:rPr>
                <w:rFonts w:ascii="Verdana" w:hAnsi="Verdana"/>
                <w:sz w:val="23"/>
                <w:szCs w:val="23"/>
              </w:rPr>
            </w:pPr>
            <w:r>
              <w:rPr>
                <w:rFonts w:ascii="Verdana" w:hAnsi="Verdana"/>
                <w:sz w:val="23"/>
                <w:szCs w:val="23"/>
              </w:rPr>
              <w:t>Durante la jornada</w:t>
            </w:r>
            <w:r w:rsidR="00875EB5" w:rsidRPr="00875EB5">
              <w:rPr>
                <w:rFonts w:ascii="Verdana" w:hAnsi="Verdana"/>
                <w:sz w:val="23"/>
                <w:szCs w:val="23"/>
              </w:rPr>
              <w:t xml:space="preserve"> </w:t>
            </w:r>
            <w:r>
              <w:rPr>
                <w:rFonts w:ascii="Verdana" w:hAnsi="Verdana"/>
                <w:sz w:val="23"/>
                <w:szCs w:val="23"/>
              </w:rPr>
              <w:t>a</w:t>
            </w:r>
            <w:r w:rsidRPr="00497650">
              <w:rPr>
                <w:rFonts w:ascii="Verdana" w:hAnsi="Verdana"/>
                <w:sz w:val="23"/>
                <w:szCs w:val="23"/>
              </w:rPr>
              <w:t>ctuaron como ponentes</w:t>
            </w:r>
            <w:r w:rsidR="00FB3000">
              <w:rPr>
                <w:rFonts w:ascii="Verdana" w:hAnsi="Verdana"/>
                <w:sz w:val="23"/>
                <w:szCs w:val="23"/>
              </w:rPr>
              <w:t xml:space="preserve"> </w:t>
            </w:r>
            <w:r w:rsidR="00FB3000" w:rsidRPr="00FB3000">
              <w:rPr>
                <w:rFonts w:ascii="Verdana" w:hAnsi="Verdana" w:hint="eastAsia"/>
                <w:sz w:val="23"/>
                <w:szCs w:val="23"/>
              </w:rPr>
              <w:t>Alejandro López-Briones</w:t>
            </w:r>
            <w:r w:rsidR="00FB3000" w:rsidRPr="00FB3000">
              <w:rPr>
                <w:rFonts w:ascii="Verdana" w:hAnsi="Verdana"/>
                <w:sz w:val="23"/>
                <w:szCs w:val="23"/>
              </w:rPr>
              <w:t xml:space="preserve">, </w:t>
            </w:r>
            <w:r w:rsidR="00FB3000" w:rsidRPr="00FB3000">
              <w:rPr>
                <w:rFonts w:ascii="Verdana" w:hAnsi="Verdana" w:hint="eastAsia"/>
                <w:sz w:val="23"/>
                <w:szCs w:val="23"/>
              </w:rPr>
              <w:t>Director Provincial de Fraternidad-</w:t>
            </w:r>
            <w:proofErr w:type="spellStart"/>
            <w:r w:rsidR="00FB3000" w:rsidRPr="00FB3000">
              <w:rPr>
                <w:rFonts w:ascii="Verdana" w:hAnsi="Verdana" w:hint="eastAsia"/>
                <w:sz w:val="23"/>
                <w:szCs w:val="23"/>
              </w:rPr>
              <w:t>Muprespa</w:t>
            </w:r>
            <w:proofErr w:type="spellEnd"/>
            <w:r w:rsidR="00FB3000" w:rsidRPr="00FB3000">
              <w:rPr>
                <w:rFonts w:ascii="Verdana" w:hAnsi="Verdana" w:hint="eastAsia"/>
                <w:sz w:val="23"/>
                <w:szCs w:val="23"/>
              </w:rPr>
              <w:t xml:space="preserve"> en Murcia, Virginia Jerez, Jefa Provincial de Tráfico, que expuso las causas de los accidentes de tráfico en las áreas extraurbanas</w:t>
            </w:r>
            <w:r w:rsidR="00FB3000" w:rsidRPr="00FB3000">
              <w:rPr>
                <w:rFonts w:ascii="Verdana" w:hAnsi="Verdana"/>
                <w:sz w:val="23"/>
                <w:szCs w:val="23"/>
              </w:rPr>
              <w:t xml:space="preserve">, </w:t>
            </w:r>
            <w:r w:rsidR="00FB3000" w:rsidRPr="00FB3000">
              <w:rPr>
                <w:rFonts w:ascii="Verdana" w:hAnsi="Verdana" w:hint="eastAsia"/>
                <w:sz w:val="23"/>
                <w:szCs w:val="23"/>
              </w:rPr>
              <w:t>Juan-Eulalio Martínez</w:t>
            </w:r>
            <w:r w:rsidR="00FB3000" w:rsidRPr="00FB3000">
              <w:rPr>
                <w:rFonts w:ascii="Verdana" w:hAnsi="Verdana"/>
                <w:sz w:val="23"/>
                <w:szCs w:val="23"/>
              </w:rPr>
              <w:t>, C</w:t>
            </w:r>
            <w:r w:rsidR="00FB3000" w:rsidRPr="00FB3000">
              <w:rPr>
                <w:rFonts w:ascii="Verdana" w:hAnsi="Verdana" w:hint="eastAsia"/>
                <w:sz w:val="23"/>
                <w:szCs w:val="23"/>
              </w:rPr>
              <w:t>oordinador de la A</w:t>
            </w:r>
            <w:r w:rsidR="00FB3000" w:rsidRPr="00FB3000">
              <w:rPr>
                <w:rFonts w:ascii="Verdana" w:hAnsi="Verdana"/>
                <w:sz w:val="23"/>
                <w:szCs w:val="23"/>
              </w:rPr>
              <w:t>ESLEME en Murcia y que,</w:t>
            </w:r>
            <w:r w:rsidR="00FB3000" w:rsidRPr="00FB3000">
              <w:rPr>
                <w:rFonts w:ascii="Verdana" w:hAnsi="Verdana" w:hint="eastAsia"/>
                <w:sz w:val="23"/>
                <w:szCs w:val="23"/>
              </w:rPr>
              <w:t xml:space="preserve"> como víctima de </w:t>
            </w:r>
            <w:r w:rsidR="00FB3000" w:rsidRPr="00FB3000">
              <w:rPr>
                <w:rFonts w:ascii="Verdana" w:hAnsi="Verdana"/>
                <w:sz w:val="23"/>
                <w:szCs w:val="23"/>
              </w:rPr>
              <w:t xml:space="preserve">un </w:t>
            </w:r>
            <w:r w:rsidR="00FB3000" w:rsidRPr="00FB3000">
              <w:rPr>
                <w:rFonts w:ascii="Verdana" w:hAnsi="Verdana" w:hint="eastAsia"/>
                <w:sz w:val="23"/>
                <w:szCs w:val="23"/>
              </w:rPr>
              <w:t xml:space="preserve">accidente de tráfico, </w:t>
            </w:r>
            <w:r w:rsidR="00FB3000" w:rsidRPr="00FB3000">
              <w:rPr>
                <w:rFonts w:ascii="Verdana" w:hAnsi="Verdana"/>
                <w:sz w:val="23"/>
                <w:szCs w:val="23"/>
              </w:rPr>
              <w:t xml:space="preserve">manifestó </w:t>
            </w:r>
            <w:r w:rsidR="00FB3000" w:rsidRPr="00FB3000">
              <w:rPr>
                <w:rFonts w:ascii="Verdana" w:hAnsi="Verdana" w:hint="eastAsia"/>
                <w:sz w:val="23"/>
                <w:szCs w:val="23"/>
              </w:rPr>
              <w:t>la necesidad de conciencia</w:t>
            </w:r>
            <w:r w:rsidR="00FB3000" w:rsidRPr="00FB3000">
              <w:rPr>
                <w:rFonts w:ascii="Verdana" w:hAnsi="Verdana"/>
                <w:sz w:val="23"/>
                <w:szCs w:val="23"/>
              </w:rPr>
              <w:t xml:space="preserve">r de la vulnerabilidad de </w:t>
            </w:r>
            <w:r w:rsidR="00FB3000" w:rsidRPr="00FB3000">
              <w:rPr>
                <w:rFonts w:ascii="Verdana" w:hAnsi="Verdana" w:hint="eastAsia"/>
                <w:sz w:val="23"/>
                <w:szCs w:val="23"/>
              </w:rPr>
              <w:t>las personas</w:t>
            </w:r>
            <w:r w:rsidR="00FB3000" w:rsidRPr="00FB3000">
              <w:rPr>
                <w:rFonts w:ascii="Verdana" w:hAnsi="Verdana"/>
                <w:sz w:val="23"/>
                <w:szCs w:val="23"/>
              </w:rPr>
              <w:t xml:space="preserve">. Posteriormente se abrió un debate en el que </w:t>
            </w:r>
            <w:r w:rsidR="00B0288E">
              <w:rPr>
                <w:rFonts w:ascii="Verdana" w:hAnsi="Verdana"/>
                <w:sz w:val="23"/>
                <w:szCs w:val="23"/>
              </w:rPr>
              <w:t>participaron Jesús Manuel López</w:t>
            </w:r>
            <w:r w:rsidR="00FB3000" w:rsidRPr="00FB3000">
              <w:rPr>
                <w:rFonts w:ascii="Verdana" w:hAnsi="Verdana"/>
                <w:sz w:val="23"/>
                <w:szCs w:val="23"/>
              </w:rPr>
              <w:t xml:space="preserve">, </w:t>
            </w:r>
            <w:r w:rsidR="00FB3000" w:rsidRPr="00FB3000">
              <w:rPr>
                <w:rFonts w:ascii="Verdana" w:hAnsi="Verdana" w:hint="eastAsia"/>
                <w:sz w:val="23"/>
                <w:szCs w:val="23"/>
              </w:rPr>
              <w:t>Técnico de Prevención de Fraternidad-</w:t>
            </w:r>
            <w:proofErr w:type="spellStart"/>
            <w:r w:rsidR="00FB3000" w:rsidRPr="00FB3000">
              <w:rPr>
                <w:rFonts w:ascii="Verdana" w:hAnsi="Verdana" w:hint="eastAsia"/>
                <w:sz w:val="23"/>
                <w:szCs w:val="23"/>
              </w:rPr>
              <w:t>Muprespa</w:t>
            </w:r>
            <w:proofErr w:type="spellEnd"/>
            <w:r w:rsidR="00FB3000" w:rsidRPr="00FB3000">
              <w:rPr>
                <w:rFonts w:ascii="Verdana" w:hAnsi="Verdana"/>
                <w:sz w:val="23"/>
                <w:szCs w:val="23"/>
              </w:rPr>
              <w:t>,</w:t>
            </w:r>
            <w:r w:rsidR="00FB3000" w:rsidRPr="00FB3000">
              <w:rPr>
                <w:rFonts w:ascii="Verdana" w:hAnsi="Verdana" w:hint="eastAsia"/>
                <w:sz w:val="23"/>
                <w:szCs w:val="23"/>
              </w:rPr>
              <w:t xml:space="preserve"> Enrique Lorca, Presidente de la Asociación Provincial de Autoescuelas de Murcia, que destacó la necesidad de una formación continua</w:t>
            </w:r>
            <w:r w:rsidR="00FB3000" w:rsidRPr="00FB3000">
              <w:rPr>
                <w:rFonts w:ascii="Verdana" w:hAnsi="Verdana"/>
                <w:sz w:val="23"/>
                <w:szCs w:val="23"/>
              </w:rPr>
              <w:t xml:space="preserve">, y </w:t>
            </w:r>
            <w:r w:rsidR="00B0288E">
              <w:rPr>
                <w:rFonts w:ascii="Verdana" w:hAnsi="Verdana" w:hint="eastAsia"/>
                <w:sz w:val="23"/>
                <w:szCs w:val="23"/>
              </w:rPr>
              <w:t>David González</w:t>
            </w:r>
            <w:r w:rsidR="00FB3000" w:rsidRPr="00FB3000">
              <w:rPr>
                <w:rFonts w:ascii="Verdana" w:hAnsi="Verdana" w:hint="eastAsia"/>
                <w:sz w:val="23"/>
                <w:szCs w:val="23"/>
              </w:rPr>
              <w:t xml:space="preserve">, Director de </w:t>
            </w:r>
            <w:r w:rsidR="00FB3000" w:rsidRPr="00FB3000">
              <w:rPr>
                <w:rFonts w:ascii="Verdana" w:hAnsi="Verdana"/>
                <w:sz w:val="23"/>
                <w:szCs w:val="23"/>
              </w:rPr>
              <w:t>D</w:t>
            </w:r>
            <w:r w:rsidR="00FB3000" w:rsidRPr="00FB3000">
              <w:rPr>
                <w:rFonts w:ascii="Verdana" w:hAnsi="Verdana" w:hint="eastAsia"/>
                <w:sz w:val="23"/>
                <w:szCs w:val="23"/>
              </w:rPr>
              <w:t xml:space="preserve">esarrollo de </w:t>
            </w:r>
            <w:r w:rsidR="00FB3000" w:rsidRPr="00FB3000">
              <w:rPr>
                <w:rFonts w:ascii="Verdana" w:hAnsi="Verdana"/>
                <w:sz w:val="23"/>
                <w:szCs w:val="23"/>
              </w:rPr>
              <w:t>N</w:t>
            </w:r>
            <w:r w:rsidR="00FB3000" w:rsidRPr="00FB3000">
              <w:rPr>
                <w:rFonts w:ascii="Verdana" w:hAnsi="Verdana" w:hint="eastAsia"/>
                <w:sz w:val="23"/>
                <w:szCs w:val="23"/>
              </w:rPr>
              <w:t xml:space="preserve">egocio de Movilidad Vial, </w:t>
            </w:r>
            <w:r w:rsidR="00FB3000" w:rsidRPr="00FB3000">
              <w:rPr>
                <w:rFonts w:ascii="Verdana" w:hAnsi="Verdana"/>
                <w:sz w:val="23"/>
                <w:szCs w:val="23"/>
              </w:rPr>
              <w:t xml:space="preserve">que hizo </w:t>
            </w:r>
            <w:r w:rsidR="00FB3000" w:rsidRPr="00FB3000">
              <w:rPr>
                <w:rFonts w:ascii="Verdana" w:hAnsi="Verdana" w:hint="eastAsia"/>
                <w:sz w:val="23"/>
                <w:szCs w:val="23"/>
              </w:rPr>
              <w:t xml:space="preserve">hincapié en el valor </w:t>
            </w:r>
            <w:r w:rsidR="00B0288E">
              <w:rPr>
                <w:rFonts w:ascii="Verdana" w:hAnsi="Verdana"/>
                <w:sz w:val="23"/>
                <w:szCs w:val="23"/>
              </w:rPr>
              <w:t xml:space="preserve">de </w:t>
            </w:r>
            <w:r w:rsidR="00FB3000" w:rsidRPr="00FB3000">
              <w:rPr>
                <w:rFonts w:ascii="Verdana" w:hAnsi="Verdana" w:hint="eastAsia"/>
                <w:sz w:val="23"/>
                <w:szCs w:val="23"/>
              </w:rPr>
              <w:t xml:space="preserve">la formación individualizada </w:t>
            </w:r>
            <w:r w:rsidR="00B0288E">
              <w:rPr>
                <w:rFonts w:ascii="Verdana" w:hAnsi="Verdana"/>
                <w:sz w:val="23"/>
                <w:szCs w:val="23"/>
              </w:rPr>
              <w:t xml:space="preserve">en seguridad vial </w:t>
            </w:r>
            <w:r w:rsidR="00FB3000" w:rsidRPr="00FB3000">
              <w:rPr>
                <w:rFonts w:ascii="Verdana" w:hAnsi="Verdana" w:hint="eastAsia"/>
                <w:sz w:val="23"/>
                <w:szCs w:val="23"/>
              </w:rPr>
              <w:t>para los trabajadores de las empresas.</w:t>
            </w:r>
            <w:bookmarkStart w:id="0" w:name="_GoBack"/>
            <w:bookmarkEnd w:id="0"/>
          </w:p>
          <w:p w14:paraId="3404D209" w14:textId="77777777" w:rsidR="00FB3000" w:rsidRDefault="00FB3000" w:rsidP="00497650">
            <w:pPr>
              <w:jc w:val="both"/>
              <w:rPr>
                <w:rFonts w:ascii="Verdana" w:hAnsi="Verdana"/>
                <w:sz w:val="23"/>
                <w:szCs w:val="23"/>
              </w:rPr>
            </w:pPr>
          </w:p>
          <w:p w14:paraId="7079EB27" w14:textId="27101DAA" w:rsidR="00875EB5" w:rsidRPr="00875EB5" w:rsidRDefault="00875EB5" w:rsidP="00497650">
            <w:pPr>
              <w:jc w:val="both"/>
              <w:rPr>
                <w:rFonts w:ascii="Verdana" w:hAnsi="Verdana"/>
                <w:sz w:val="23"/>
                <w:szCs w:val="23"/>
              </w:rPr>
            </w:pPr>
            <w:r>
              <w:rPr>
                <w:rFonts w:ascii="Verdana" w:hAnsi="Verdana"/>
                <w:sz w:val="23"/>
                <w:szCs w:val="23"/>
              </w:rPr>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 xml:space="preserve">La media de días de baja tras un accidente fue de 40,25 en el período observado y el coste económico medio anual derivado de la incapacidad temporal se sitúa en 10,35 millones de euros. Al igual que en otras estadísticas nacionales sobre </w:t>
            </w:r>
            <w:r w:rsidRPr="00875EB5">
              <w:rPr>
                <w:rFonts w:ascii="Verdana" w:hAnsi="Verdana"/>
                <w:sz w:val="23"/>
                <w:szCs w:val="23"/>
              </w:rPr>
              <w:lastRenderedPageBreak/>
              <w:t>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B0288E">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B0288E">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B0288E">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B0288E">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B0288E">
                              <w:pPr>
                                <w:framePr w:hSpace="141" w:wrap="around" w:hAnchor="margin" w:xAlign="center" w:y="540"/>
                                <w:jc w:val="both"/>
                                <w:rPr>
                                  <w:sz w:val="23"/>
                                  <w:szCs w:val="23"/>
                                </w:rPr>
                              </w:pPr>
                            </w:p>
                            <w:p w14:paraId="49E43466" w14:textId="77777777" w:rsidR="00C76DA6" w:rsidRPr="00C76DA6" w:rsidRDefault="00C76DA6" w:rsidP="00B0288E">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B0288E">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B0288E" w:rsidP="00B0288E">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B0288E">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B0288E">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B0288E">
                        <w:pPr>
                          <w:framePr w:hSpace="141" w:wrap="around" w:hAnchor="margin" w:xAlign="center" w:y="540"/>
                          <w:jc w:val="both"/>
                          <w:rPr>
                            <w:sz w:val="23"/>
                            <w:szCs w:val="23"/>
                          </w:rPr>
                        </w:pPr>
                      </w:p>
                    </w:tc>
                  </w:tr>
                </w:tbl>
                <w:p w14:paraId="17DD7FC6" w14:textId="424DD739" w:rsidR="00C76DA6" w:rsidRPr="00C76DA6" w:rsidRDefault="00C76DA6" w:rsidP="00B0288E">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501D0"/>
    <w:rsid w:val="000C6A9A"/>
    <w:rsid w:val="000C6D7E"/>
    <w:rsid w:val="000C7709"/>
    <w:rsid w:val="000F51B1"/>
    <w:rsid w:val="000F56B3"/>
    <w:rsid w:val="001015C3"/>
    <w:rsid w:val="001029F3"/>
    <w:rsid w:val="00111069"/>
    <w:rsid w:val="001112EB"/>
    <w:rsid w:val="00114CE7"/>
    <w:rsid w:val="00124ABD"/>
    <w:rsid w:val="00197A80"/>
    <w:rsid w:val="001B638A"/>
    <w:rsid w:val="001D1CFC"/>
    <w:rsid w:val="00202137"/>
    <w:rsid w:val="002360C8"/>
    <w:rsid w:val="00251390"/>
    <w:rsid w:val="002610E7"/>
    <w:rsid w:val="00272553"/>
    <w:rsid w:val="00281B64"/>
    <w:rsid w:val="002871DB"/>
    <w:rsid w:val="0031375F"/>
    <w:rsid w:val="0031497A"/>
    <w:rsid w:val="00350CEE"/>
    <w:rsid w:val="00355E93"/>
    <w:rsid w:val="00357746"/>
    <w:rsid w:val="003643C0"/>
    <w:rsid w:val="003726C2"/>
    <w:rsid w:val="003A11D2"/>
    <w:rsid w:val="003A5BAA"/>
    <w:rsid w:val="003D29D2"/>
    <w:rsid w:val="003E0EDA"/>
    <w:rsid w:val="004035F8"/>
    <w:rsid w:val="00410B88"/>
    <w:rsid w:val="00435873"/>
    <w:rsid w:val="004401BE"/>
    <w:rsid w:val="00470D67"/>
    <w:rsid w:val="00471A26"/>
    <w:rsid w:val="00473009"/>
    <w:rsid w:val="00473A48"/>
    <w:rsid w:val="004961BE"/>
    <w:rsid w:val="00497650"/>
    <w:rsid w:val="00536FCF"/>
    <w:rsid w:val="00553AC9"/>
    <w:rsid w:val="00575D97"/>
    <w:rsid w:val="00575E62"/>
    <w:rsid w:val="005931C8"/>
    <w:rsid w:val="005A2299"/>
    <w:rsid w:val="005B16D6"/>
    <w:rsid w:val="005C7684"/>
    <w:rsid w:val="005D3A10"/>
    <w:rsid w:val="005D59DC"/>
    <w:rsid w:val="005D5F83"/>
    <w:rsid w:val="005E0F5B"/>
    <w:rsid w:val="00604E30"/>
    <w:rsid w:val="0061000D"/>
    <w:rsid w:val="006126B4"/>
    <w:rsid w:val="00617AB8"/>
    <w:rsid w:val="006406AD"/>
    <w:rsid w:val="006B4662"/>
    <w:rsid w:val="006F1A10"/>
    <w:rsid w:val="006F7854"/>
    <w:rsid w:val="00701776"/>
    <w:rsid w:val="00713C9E"/>
    <w:rsid w:val="007318B8"/>
    <w:rsid w:val="00753AB2"/>
    <w:rsid w:val="00761040"/>
    <w:rsid w:val="00785D5D"/>
    <w:rsid w:val="0079215D"/>
    <w:rsid w:val="007C7492"/>
    <w:rsid w:val="007F0A7E"/>
    <w:rsid w:val="007F42EF"/>
    <w:rsid w:val="00805B4E"/>
    <w:rsid w:val="00820C25"/>
    <w:rsid w:val="00855EAC"/>
    <w:rsid w:val="00863259"/>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70E5A"/>
    <w:rsid w:val="00A825F7"/>
    <w:rsid w:val="00AA5B53"/>
    <w:rsid w:val="00AD0CB7"/>
    <w:rsid w:val="00B0288E"/>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E32D15"/>
    <w:rsid w:val="00E44CF9"/>
    <w:rsid w:val="00E85496"/>
    <w:rsid w:val="00EA7AC8"/>
    <w:rsid w:val="00EB5AD7"/>
    <w:rsid w:val="00EE0D84"/>
    <w:rsid w:val="00EF182B"/>
    <w:rsid w:val="00F05AC2"/>
    <w:rsid w:val="00F168DF"/>
    <w:rsid w:val="00F1718B"/>
    <w:rsid w:val="00F36FFA"/>
    <w:rsid w:val="00F551B2"/>
    <w:rsid w:val="00F7419B"/>
    <w:rsid w:val="00FB3000"/>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554999068">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0F99-DCC1-4FDA-8EE1-1C52260B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2019-04-23T13:36:00Z</cp:lastPrinted>
  <dcterms:created xsi:type="dcterms:W3CDTF">2019-11-19T09:22:00Z</dcterms:created>
  <dcterms:modified xsi:type="dcterms:W3CDTF">2019-11-19T11:44:00Z</dcterms:modified>
</cp:coreProperties>
</file>