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right"/>
        <w:rPr>
          <w:rFonts w:ascii="Rounded Elegance" w:cs="Rounded Elegance" w:eastAsia="Rounded Elegance" w:hAnsi="Rounded Elegance"/>
          <w:b w:val="1"/>
          <w:i w:val="0"/>
          <w:smallCaps w:val="0"/>
          <w:strike w:val="0"/>
          <w:color w:val="808080"/>
          <w:sz w:val="52"/>
          <w:szCs w:val="52"/>
          <w:u w:val="none"/>
          <w:shd w:fill="auto" w:val="clear"/>
          <w:vertAlign w:val="baseline"/>
        </w:rPr>
      </w:pPr>
      <w:r w:rsidDel="00000000" w:rsidR="00000000" w:rsidRPr="00000000">
        <w:rPr>
          <w:rFonts w:ascii="Rounded Elegance" w:cs="Rounded Elegance" w:eastAsia="Rounded Elegance" w:hAnsi="Rounded Elegance"/>
          <w:b w:val="1"/>
          <w:i w:val="0"/>
          <w:smallCaps w:val="0"/>
          <w:strike w:val="0"/>
          <w:color w:val="808080"/>
          <w:sz w:val="52"/>
          <w:szCs w:val="52"/>
          <w:u w:val="none"/>
          <w:shd w:fill="auto" w:val="clear"/>
          <w:vertAlign w:val="baseline"/>
          <w:rtl w:val="0"/>
        </w:rPr>
        <w:t xml:space="preserve">NOTA DE PRENSA</w:t>
      </w:r>
      <w:r w:rsidDel="00000000" w:rsidR="00000000" w:rsidRPr="00000000">
        <w:drawing>
          <wp:anchor allowOverlap="1" behindDoc="0" distB="0" distT="0" distL="114300" distR="114300" hidden="0" layoutInCell="1" locked="0" relativeHeight="0" simplePos="0">
            <wp:simplePos x="0" y="0"/>
            <wp:positionH relativeFrom="column">
              <wp:posOffset>6123305</wp:posOffset>
            </wp:positionH>
            <wp:positionV relativeFrom="paragraph">
              <wp:posOffset>-460374</wp:posOffset>
            </wp:positionV>
            <wp:extent cx="556260" cy="10858500"/>
            <wp:effectExtent b="0" l="0" r="0" t="0"/>
            <wp:wrapNone/>
            <wp:docPr descr="Lateral-NdP-+compromiso" id="9" name="image2.jpg"/>
            <a:graphic>
              <a:graphicData uri="http://schemas.openxmlformats.org/drawingml/2006/picture">
                <pic:pic>
                  <pic:nvPicPr>
                    <pic:cNvPr descr="Lateral-NdP-+compromiso" id="0" name="image2.jpg"/>
                    <pic:cNvPicPr preferRelativeResize="0"/>
                  </pic:nvPicPr>
                  <pic:blipFill>
                    <a:blip r:embed="rId7"/>
                    <a:srcRect b="0" l="0" r="0" t="0"/>
                    <a:stretch>
                      <a:fillRect/>
                    </a:stretch>
                  </pic:blipFill>
                  <pic:spPr>
                    <a:xfrm>
                      <a:off x="0" y="0"/>
                      <a:ext cx="556260" cy="10858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-17144</wp:posOffset>
            </wp:positionH>
            <wp:positionV relativeFrom="paragraph">
              <wp:posOffset>-225424</wp:posOffset>
            </wp:positionV>
            <wp:extent cx="2355215" cy="758825"/>
            <wp:effectExtent b="0" l="0" r="0" t="0"/>
            <wp:wrapNone/>
            <wp:docPr descr="logo-alianzademutuas---horizontal---80" id="11" name="image1.png"/>
            <a:graphic>
              <a:graphicData uri="http://schemas.openxmlformats.org/drawingml/2006/picture">
                <pic:pic>
                  <pic:nvPicPr>
                    <pic:cNvPr descr="logo-alianzademutuas---horizontal---80" id="0" name="image1.png"/>
                    <pic:cNvPicPr preferRelativeResize="0"/>
                  </pic:nvPicPr>
                  <pic:blipFill>
                    <a:blip r:embed="rId8"/>
                    <a:srcRect b="0" l="0" r="0" t="0"/>
                    <a:stretch>
                      <a:fillRect/>
                    </a:stretch>
                  </pic:blipFill>
                  <pic:spPr>
                    <a:xfrm>
                      <a:off x="0" y="0"/>
                      <a:ext cx="2355215" cy="758825"/>
                    </a:xfrm>
                    <a:prstGeom prst="rect"/>
                    <a:ln/>
                  </pic:spPr>
                </pic:pic>
              </a:graphicData>
            </a:graphic>
          </wp:anchor>
        </w:drawing>
      </w:r>
    </w:p>
    <w:p w:rsidR="00000000" w:rsidDel="00000000" w:rsidP="00000000" w:rsidRDefault="00000000" w:rsidRPr="00000000" w14:paraId="00000002">
      <w:pPr>
        <w:rPr>
          <w:rFonts w:ascii="Rounded Elegance" w:cs="Rounded Elegance" w:eastAsia="Rounded Elegance" w:hAnsi="Rounded Elegance"/>
          <w:b w:val="1"/>
          <w:sz w:val="34"/>
          <w:szCs w:val="34"/>
        </w:rPr>
      </w:pPr>
      <w:r w:rsidDel="00000000" w:rsidR="00000000" w:rsidRPr="00000000">
        <w:rPr>
          <w:rtl w:val="0"/>
        </w:rPr>
      </w:r>
    </w:p>
    <w:tbl>
      <w:tblPr>
        <w:tblStyle w:val="Table1"/>
        <w:tblW w:w="9390.0" w:type="dxa"/>
        <w:jc w:val="center"/>
        <w:tblLayout w:type="fixed"/>
        <w:tblLook w:val="0400"/>
      </w:tblPr>
      <w:tblGrid>
        <w:gridCol w:w="9390"/>
        <w:tblGridChange w:id="0">
          <w:tblGrid>
            <w:gridCol w:w="9390"/>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03">
            <w:pPr>
              <w:jc w:val="both"/>
              <w:rPr>
                <w:rFonts w:ascii="Rounded Elegance" w:cs="Rounded Elegance" w:eastAsia="Rounded Elegance" w:hAnsi="Rounded Elegance"/>
                <w:color w:val="0d0d0d"/>
              </w:rPr>
            </w:pPr>
            <w:r w:rsidDel="00000000" w:rsidR="00000000" w:rsidRPr="00000000">
              <w:rPr>
                <w:rFonts w:ascii="Rounded Elegance" w:cs="Rounded Elegance" w:eastAsia="Rounded Elegance" w:hAnsi="Rounded Elegance"/>
                <w:color w:val="0d0d0d"/>
                <w:rtl w:val="0"/>
              </w:rPr>
              <w:t xml:space="preserve">                                                                                                   </w:t>
            </w:r>
            <w:r w:rsidDel="00000000" w:rsidR="00000000" w:rsidRPr="00000000">
              <w:rPr>
                <w:rFonts w:ascii="Rounded Elegance" w:cs="Rounded Elegance" w:eastAsia="Rounded Elegance" w:hAnsi="Rounded Elegance"/>
                <w:color w:val="0d0d0d"/>
                <w:rtl w:val="0"/>
              </w:rPr>
              <w:t xml:space="preserve">Madrid, 17 de octubre de 2024</w:t>
            </w:r>
          </w:p>
          <w:p w:rsidR="00000000" w:rsidDel="00000000" w:rsidP="00000000" w:rsidRDefault="00000000" w:rsidRPr="00000000" w14:paraId="00000004">
            <w:pPr>
              <w:jc w:val="center"/>
              <w:rPr>
                <w:rFonts w:ascii="Rounded Elegance" w:cs="Rounded Elegance" w:eastAsia="Rounded Elegance" w:hAnsi="Rounded Elegance"/>
                <w:b w:val="1"/>
                <w:color w:val="0d0d0d"/>
                <w:sz w:val="28"/>
                <w:szCs w:val="28"/>
              </w:rPr>
            </w:pPr>
            <w:r w:rsidDel="00000000" w:rsidR="00000000" w:rsidRPr="00000000">
              <w:rPr>
                <w:rtl w:val="0"/>
              </w:rPr>
            </w:r>
          </w:p>
          <w:p w:rsidR="00000000" w:rsidDel="00000000" w:rsidP="00000000" w:rsidRDefault="00000000" w:rsidRPr="00000000" w14:paraId="00000005">
            <w:pPr>
              <w:jc w:val="center"/>
              <w:rPr>
                <w:rFonts w:ascii="Rounded Elegance" w:cs="Rounded Elegance" w:eastAsia="Rounded Elegance" w:hAnsi="Rounded Elegance"/>
                <w:b w:val="1"/>
                <w:sz w:val="34"/>
                <w:szCs w:val="34"/>
              </w:rPr>
            </w:pPr>
            <w:r w:rsidDel="00000000" w:rsidR="00000000" w:rsidRPr="00000000">
              <w:rPr>
                <w:rFonts w:ascii="Rounded Elegance" w:cs="Rounded Elegance" w:eastAsia="Rounded Elegance" w:hAnsi="Rounded Elegance"/>
                <w:b w:val="1"/>
                <w:sz w:val="34"/>
                <w:szCs w:val="34"/>
                <w:rtl w:val="0"/>
              </w:rPr>
              <w:t xml:space="preserve">Asepeyo, Fraternidad-Muprespa y MC MUTUAL analizan el impacto del consumo de sustancias y de las  adicciones tecnológicas en el entorno laboral</w:t>
            </w:r>
          </w:p>
        </w:tc>
      </w:tr>
      <w:tr>
        <w:trPr>
          <w:cantSplit w:val="0"/>
          <w:trHeight w:val="8970" w:hRule="atLeast"/>
          <w:tblHeader w:val="0"/>
        </w:trPr>
        <w:tc>
          <w:tcPr>
            <w:tcMar>
              <w:top w:w="0.0" w:type="dxa"/>
              <w:left w:w="108.0" w:type="dxa"/>
              <w:bottom w:w="0.0" w:type="dxa"/>
              <w:right w:w="108.0" w:type="dxa"/>
            </w:tcMar>
          </w:tcPr>
          <w:p w:rsidR="00000000" w:rsidDel="00000000" w:rsidP="00000000" w:rsidRDefault="00000000" w:rsidRPr="00000000" w14:paraId="00000006">
            <w:pPr>
              <w:jc w:val="both"/>
              <w:rPr>
                <w:rFonts w:ascii="Rounded Elegance" w:cs="Rounded Elegance" w:eastAsia="Rounded Elegance" w:hAnsi="Rounded Elegance"/>
                <w:color w:val="0d0d0d"/>
                <w:sz w:val="28"/>
                <w:szCs w:val="28"/>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Entre el 15% y el 30% de los accidentes laborales están vinculados al consumo de alcohol o drogas, según la OIT</w:t>
            </w:r>
          </w:p>
          <w:p w:rsidR="00000000" w:rsidDel="00000000" w:rsidP="00000000" w:rsidRDefault="00000000" w:rsidRPr="00000000" w14:paraId="00000008">
            <w:pPr>
              <w:spacing w:line="240" w:lineRule="auto"/>
              <w:jc w:val="center"/>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el 15% y el 30% de los accidentes laborales están vinculados al consumo de alcohol o drogas, según los datos de la Organización Internacional del Trabajo (OIT). En la actualidad, hay que añadir nuevos riesgos, como son las adicciones derivadas del uso de las nuevas tecnologías, como la tecnoadicción, el tecnoestrés o la tecnofatiga. </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objetivo de analizar el impacto de las adicciones en el entorno laboral, la alianza +compromiso ha organizado una jornada en Madrid desde un enfoque de cultura empresarial que siente las bases para la prevención del consumo de sustancias y del uso excesivo de tecnologías, amenazas que repercuten en la salud de los empleados, en la seguridad en el trabajo y en la productividad de la empresa.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jornada, moderada por Adrián Díaz-Caneja, coordinador de PR y eventos de la consultora Affor Health, se h</w:t>
            </w:r>
            <w:r w:rsidDel="00000000" w:rsidR="00000000" w:rsidRPr="00000000">
              <w:rPr>
                <w:rFonts w:ascii="Times New Roman" w:cs="Times New Roman" w:eastAsia="Times New Roman" w:hAnsi="Times New Roman"/>
                <w:sz w:val="24"/>
                <w:szCs w:val="24"/>
                <w:rtl w:val="0"/>
              </w:rPr>
              <w:t xml:space="preserve">a inaugurado con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intervención de Elena Presencio, directora general de la Asociación Proyecto Hombre, quien ha puesto de relieve que el lugar de trabajo es un entorno privilegiado a la hora de prevenir las adicciones y promover estilos de vida saludables. Proyecto Hombre aborda la prevención laboral en las empresas con planes centrados en reducir el riesgo de consumo de sustancias o comportamientos adictivos en el trabajo para crear un ambiente más saludable y seguro.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Enfoque preventivo, de género y personalizado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w:t>
            </w:r>
            <w:r w:rsidDel="00000000" w:rsidR="00000000" w:rsidRPr="00000000">
              <w:rPr>
                <w:rFonts w:ascii="Times New Roman" w:cs="Times New Roman" w:eastAsia="Times New Roman" w:hAnsi="Times New Roman"/>
                <w:sz w:val="24"/>
                <w:szCs w:val="24"/>
                <w:rtl w:val="0"/>
              </w:rPr>
              <w:t xml:space="preserve">rimera mesa redonda, ‘El papel de la empresa ante las adicciones en el trabajo y cómo gestionarlas’, Ángela Todolí, asociada principal del área Laboral en </w:t>
            </w:r>
            <w:r w:rsidDel="00000000" w:rsidR="00000000" w:rsidRPr="00000000">
              <w:rPr>
                <w:rFonts w:ascii="Times New Roman" w:cs="Times New Roman" w:eastAsia="Times New Roman" w:hAnsi="Times New Roman"/>
                <w:sz w:val="24"/>
                <w:szCs w:val="24"/>
                <w:rtl w:val="0"/>
              </w:rPr>
              <w:t xml:space="preserve">Cuatrecasas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 señalado que "todavía persiste en nuestro ordenamiento jurídico una visión reactivo- punitiva de esta cuestión poco acorde con la actual consideración de tales situaciones". En este sentido, ha abogado por cambiar el modo de gestión por parte de las empresas de esta problemática priorizando la gestión de las mismas desde la perspectiva de protección de la salud de los trabajadores.</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Por su parte, técnicos de Prevención de las tres Mutuas han puesto el acento en un enfoque preventivo de las adicciones, evitando las cuestiones disciplinarias, han abordado el consumo de sustancias desde una perspectiva de género, diferenciando los modelos sociales asociados a ello, y han alertado de los riesgos para la salud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derivados del uso intensivo de tecnologías sin una formación adecuada</w:t>
            </w:r>
            <w:r w:rsidDel="00000000" w:rsidR="00000000" w:rsidRPr="00000000">
              <w:rPr>
                <w:rFonts w:ascii="Times New Roman" w:cs="Times New Roman" w:eastAsia="Times New Roman" w:hAnsi="Times New Roman"/>
                <w:sz w:val="24"/>
                <w:szCs w:val="24"/>
                <w:rtl w:val="0"/>
              </w:rPr>
              <w:t xml:space="preserve">, abogando por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adaptar los puestos de trabajo segú</w:t>
            </w:r>
            <w:r w:rsidDel="00000000" w:rsidR="00000000" w:rsidRPr="00000000">
              <w:rPr>
                <w:rFonts w:ascii="Times New Roman" w:cs="Times New Roman" w:eastAsia="Times New Roman" w:hAnsi="Times New Roman"/>
                <w:sz w:val="24"/>
                <w:szCs w:val="24"/>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capacidades individuales de cada empleado para prevenir problemas como la tecnofatiga.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Experiencias empresariales en la gestión de adicciones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jornada ha reunido también a representantes de diversas empresas que han compartido sus experiencias en la gestión de adicciones en el ámbito laboral.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Isabel Tapia, HSSEQ Manager en Oryx Iberia, ha explicado cómo su empresa ha evolucionado en este aspecto, pasando de realizar controles puntuales de alcohol a implementar una política integral que incluye pruebas obligatorias para todos los empleados.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su parte, Carles Salas, responsable de Salud y Seguridad en TUSGSAL, </w:t>
            </w:r>
            <w:r w:rsidDel="00000000" w:rsidR="00000000" w:rsidRPr="00000000">
              <w:rPr>
                <w:rFonts w:ascii="Times New Roman" w:cs="Times New Roman" w:eastAsia="Times New Roman" w:hAnsi="Times New Roman"/>
                <w:sz w:val="24"/>
                <w:szCs w:val="24"/>
                <w:rtl w:val="0"/>
              </w:rPr>
              <w:t xml:space="preserve">ha abordado cómo el consumo de sustancias se filtra en las empresas, subrayando la importancia de campañas de sensibilización, formación continua y pruebas de detección. "Las señales como la impuntualidad o el bajo rendimiento laboral pueden ser indicativos de adicciones", ha concluido.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María Pilar Campos, Gerente del Servicio de Prevención de Telefónica España, ha explicado ó que la compañía fue pionera en el desarrollo e implantación del programa de Desconexión Digital, que prioriza el derecho de los empleados a desconectar de las plataformas digitales fuera de su horario de trabajo, algo que contemplan, como un derecho, y no estrictamente como una obligación legal, y que se recoge en su convenio colectivo. Además ha asegurado  que “gestionar las adicciones en el trabajo requiere un enfoque integral que combine prevención, detección temprana, intervención y apoyo a los empleados”.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bl>
            <w:tblPr>
              <w:tblStyle w:val="Table2"/>
              <w:tblW w:w="9078.0" w:type="dxa"/>
              <w:jc w:val="center"/>
              <w:tblLayout w:type="fixed"/>
              <w:tblLook w:val="0400"/>
            </w:tblPr>
            <w:tblGrid>
              <w:gridCol w:w="9078"/>
              <w:tblGridChange w:id="0">
                <w:tblGrid>
                  <w:gridCol w:w="9078"/>
                </w:tblGrid>
              </w:tblGridChange>
            </w:tblGrid>
            <w:tr>
              <w:trPr>
                <w:cantSplit w:val="0"/>
                <w:trHeight w:val="478" w:hRule="atLeast"/>
                <w:tblHeader w:val="0"/>
              </w:trPr>
              <w:tc>
                <w:tcPr>
                  <w:shd w:fill="f2f2f2" w:val="clear"/>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unded Elegance" w:cs="Rounded Elegance" w:eastAsia="Rounded Elegance" w:hAnsi="Rounded Elegance"/>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8862.0" w:type="dxa"/>
                    <w:jc w:val="center"/>
                    <w:tblLayout w:type="fixed"/>
                    <w:tblLook w:val="0400"/>
                  </w:tblPr>
                  <w:tblGrid>
                    <w:gridCol w:w="8862"/>
                    <w:tblGridChange w:id="0">
                      <w:tblGrid>
                        <w:gridCol w:w="8862"/>
                      </w:tblGrid>
                    </w:tblGridChange>
                  </w:tblGrid>
                  <w:tr>
                    <w:trPr>
                      <w:cantSplit w:val="0"/>
                      <w:trHeight w:val="498" w:hRule="atLeast"/>
                      <w:tblHeader w:val="0"/>
                    </w:trPr>
                    <w:tc>
                      <w:tcPr>
                        <w:shd w:fill="f2f2f2" w:val="clear"/>
                        <w:tcMar>
                          <w:top w:w="0.0" w:type="dxa"/>
                          <w:left w:w="108.0" w:type="dxa"/>
                          <w:bottom w:w="0.0" w:type="dxa"/>
                          <w:right w:w="108.0" w:type="dxa"/>
                        </w:tcMar>
                        <w:vAlign w:val="center"/>
                      </w:tcPr>
                      <w:p w:rsidR="00000000" w:rsidDel="00000000" w:rsidP="00000000" w:rsidRDefault="00000000" w:rsidRPr="00000000" w14:paraId="00000017">
                        <w:pPr>
                          <w:pBdr>
                            <w:bottom w:color="000000" w:space="1" w:sz="4" w:val="single"/>
                          </w:pBdr>
                          <w:rPr>
                            <w:b w:val="1"/>
                            <w:sz w:val="20"/>
                            <w:szCs w:val="20"/>
                          </w:rPr>
                        </w:pPr>
                        <w:r w:rsidDel="00000000" w:rsidR="00000000" w:rsidRPr="00000000">
                          <w:rPr>
                            <w:b w:val="1"/>
                            <w:sz w:val="20"/>
                            <w:szCs w:val="20"/>
                            <w:rtl w:val="0"/>
                          </w:rPr>
                          <w:t xml:space="preserve">SOBRE +COMPROMISO:</w:t>
                        </w:r>
                      </w:p>
                      <w:p w:rsidR="00000000" w:rsidDel="00000000" w:rsidP="00000000" w:rsidRDefault="00000000" w:rsidRPr="00000000" w14:paraId="00000018">
                        <w:pPr>
                          <w:jc w:val="both"/>
                          <w:rPr>
                            <w:sz w:val="20"/>
                            <w:szCs w:val="20"/>
                          </w:rPr>
                        </w:pPr>
                        <w:r w:rsidDel="00000000" w:rsidR="00000000" w:rsidRPr="00000000">
                          <w:rPr>
                            <w:b w:val="1"/>
                            <w:sz w:val="20"/>
                            <w:szCs w:val="20"/>
                            <w:rtl w:val="0"/>
                          </w:rPr>
                          <w:t xml:space="preserve">+compromiso alianza de mutuas</w:t>
                        </w:r>
                        <w:r w:rsidDel="00000000" w:rsidR="00000000" w:rsidRPr="00000000">
                          <w:rPr>
                            <w:sz w:val="20"/>
                            <w:szCs w:val="20"/>
                            <w:rtl w:val="0"/>
                          </w:rPr>
                          <w:t xml:space="preserve"> nació en marzo de 2019 como fruto del convenio suscrito por tres mutuas colaboradoras con la Seguridad Social: </w:t>
                        </w:r>
                        <w:r w:rsidDel="00000000" w:rsidR="00000000" w:rsidRPr="00000000">
                          <w:rPr>
                            <w:b w:val="1"/>
                            <w:sz w:val="20"/>
                            <w:szCs w:val="20"/>
                            <w:rtl w:val="0"/>
                          </w:rPr>
                          <w:t xml:space="preserve">Asepeyo, Fraternidad-Muprespa y MC MUTUAL</w:t>
                        </w:r>
                        <w:r w:rsidDel="00000000" w:rsidR="00000000" w:rsidRPr="00000000">
                          <w:rPr>
                            <w:sz w:val="20"/>
                            <w:szCs w:val="20"/>
                            <w:rtl w:val="0"/>
                          </w:rPr>
                          <w:t xml:space="preserve">, con el objetivo de establecer un marco estable de colaboración, poniendo en común el conocimiento, las instalaciones y los servicios de los que dispone cada entidad, con respeto a la personalidad jurídica de cada una.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Suma 355 centros asistenciales propios, cinco hospitales más un hospital de día, y un equipo humano integrado por más de 7.000 profesionales. Su población protegida alcanza más de 5 millones de trabajadores y sus empresas mutualistas son cerca de 640.000. La cifra de trabajadores autónomos protegidos es cerca de un millón. </w:t>
                        </w:r>
                      </w:p>
                      <w:p w:rsidR="00000000" w:rsidDel="00000000" w:rsidP="00000000" w:rsidRDefault="00000000" w:rsidRPr="00000000" w14:paraId="0000001A">
                        <w:pPr>
                          <w:spacing w:after="150" w:line="240" w:lineRule="auto"/>
                          <w:jc w:val="both"/>
                          <w:rPr>
                            <w:sz w:val="20"/>
                            <w:szCs w:val="20"/>
                          </w:rPr>
                        </w:pPr>
                        <w:r w:rsidDel="00000000" w:rsidR="00000000" w:rsidRPr="00000000">
                          <w:rPr>
                            <w:sz w:val="20"/>
                            <w:szCs w:val="20"/>
                            <w:rtl w:val="0"/>
                          </w:rPr>
                          <w:t xml:space="preserve">Los tres directores gerentes y los responsables de gestión de cada mutua forman su Comisión Ejecutiva. Su actividad se coordina a través de siete grupos de diferentes áreas de trabajo.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595959"/>
                            <w:sz w:val="20"/>
                            <w:szCs w:val="20"/>
                            <w:u w:val="none"/>
                            <w:shd w:fill="auto" w:val="clear"/>
                            <w:vertAlign w:val="baseline"/>
                          </w:rPr>
                        </w:pPr>
                        <w:r w:rsidDel="00000000" w:rsidR="00000000" w:rsidRPr="00000000">
                          <w:rPr>
                            <w:rtl w:val="0"/>
                          </w:rPr>
                        </w:r>
                      </w:p>
                    </w:tc>
                  </w:tr>
                  <w:tr>
                    <w:trPr>
                      <w:cantSplit w:val="0"/>
                      <w:trHeight w:val="240" w:hRule="atLeast"/>
                      <w:tblHeader w:val="0"/>
                    </w:trPr>
                    <w:tc>
                      <w:tcPr>
                        <w:shd w:fill="f2f2f2" w:val="clear"/>
                        <w:tcMar>
                          <w:top w:w="0.0" w:type="dxa"/>
                          <w:left w:w="108.0" w:type="dxa"/>
                          <w:bottom w:w="0.0" w:type="dxa"/>
                          <w:right w:w="108.0" w:type="dxa"/>
                        </w:tcMar>
                      </w:tcPr>
                      <w:p w:rsidR="00000000" w:rsidDel="00000000" w:rsidP="00000000" w:rsidRDefault="00000000" w:rsidRPr="00000000" w14:paraId="0000001C">
                        <w:pPr>
                          <w:spacing w:after="100" w:lineRule="auto"/>
                          <w:rPr>
                            <w:b w:val="1"/>
                            <w:sz w:val="20"/>
                            <w:szCs w:val="20"/>
                          </w:rPr>
                        </w:pPr>
                        <w:r w:rsidDel="00000000" w:rsidR="00000000" w:rsidRPr="00000000">
                          <w:rPr>
                            <w:b w:val="1"/>
                            <w:sz w:val="20"/>
                            <w:szCs w:val="20"/>
                            <w:rtl w:val="0"/>
                          </w:rPr>
                          <w:t xml:space="preserve">CONTACTO</w:t>
                        </w:r>
                        <w:r w:rsidDel="00000000" w:rsidR="00000000" w:rsidRPr="00000000">
                          <w:drawing>
                            <wp:anchor allowOverlap="1" behindDoc="0" distB="0" distT="0" distL="114300" distR="114300" hidden="0" layoutInCell="1" locked="0" relativeHeight="0" simplePos="0">
                              <wp:simplePos x="0" y="0"/>
                              <wp:positionH relativeFrom="column">
                                <wp:posOffset>2465705</wp:posOffset>
                              </wp:positionH>
                              <wp:positionV relativeFrom="paragraph">
                                <wp:posOffset>146050</wp:posOffset>
                              </wp:positionV>
                              <wp:extent cx="2760345" cy="664210"/>
                              <wp:effectExtent b="0" l="0" r="0" t="0"/>
                              <wp:wrapNone/>
                              <wp:docPr descr="Logotipos-Mutuas-Alianza" id="10" name="image3.png"/>
                              <a:graphic>
                                <a:graphicData uri="http://schemas.openxmlformats.org/drawingml/2006/picture">
                                  <pic:pic>
                                    <pic:nvPicPr>
                                      <pic:cNvPr descr="Logotipos-Mutuas-Alianza" id="0" name="image3.png"/>
                                      <pic:cNvPicPr preferRelativeResize="0"/>
                                    </pic:nvPicPr>
                                    <pic:blipFill>
                                      <a:blip r:embed="rId9"/>
                                      <a:srcRect b="0" l="0" r="0" t="0"/>
                                      <a:stretch>
                                        <a:fillRect/>
                                      </a:stretch>
                                    </pic:blipFill>
                                    <pic:spPr>
                                      <a:xfrm>
                                        <a:off x="0" y="0"/>
                                        <a:ext cx="2760345" cy="664210"/>
                                      </a:xfrm>
                                      <a:prstGeom prst="rect"/>
                                      <a:ln/>
                                    </pic:spPr>
                                  </pic:pic>
                                </a:graphicData>
                              </a:graphic>
                            </wp:anchor>
                          </w:drawing>
                        </w:r>
                      </w:p>
                      <w:p w:rsidR="00000000" w:rsidDel="00000000" w:rsidP="00000000" w:rsidRDefault="00000000" w:rsidRPr="00000000" w14:paraId="0000001D">
                        <w:pPr>
                          <w:spacing w:after="100" w:lineRule="auto"/>
                          <w:rPr>
                            <w:b w:val="1"/>
                            <w:i w:val="1"/>
                            <w:sz w:val="20"/>
                            <w:szCs w:val="20"/>
                          </w:rPr>
                        </w:pPr>
                        <w:hyperlink r:id="rId10">
                          <w:r w:rsidDel="00000000" w:rsidR="00000000" w:rsidRPr="00000000">
                            <w:rPr>
                              <w:b w:val="1"/>
                              <w:color w:val="4dc3ff"/>
                              <w:u w:val="none"/>
                              <w:rtl w:val="0"/>
                            </w:rPr>
                            <w:t xml:space="preserve">prensa@asepeyo.es</w:t>
                          </w:r>
                        </w:hyperlink>
                        <w:r w:rsidDel="00000000" w:rsidR="00000000" w:rsidRPr="00000000">
                          <w:rPr>
                            <w:b w:val="1"/>
                            <w:sz w:val="20"/>
                            <w:szCs w:val="20"/>
                            <w:rtl w:val="0"/>
                          </w:rPr>
                          <w:br w:type="textWrapping"/>
                        </w:r>
                        <w:hyperlink r:id="rId11">
                          <w:r w:rsidDel="00000000" w:rsidR="00000000" w:rsidRPr="00000000">
                            <w:rPr>
                              <w:b w:val="1"/>
                              <w:color w:val="00b050"/>
                              <w:rtl w:val="0"/>
                            </w:rPr>
                            <w:t xml:space="preserve">gabineteprensa@fraternidad.com</w:t>
                          </w:r>
                        </w:hyperlink>
                        <w:r w:rsidDel="00000000" w:rsidR="00000000" w:rsidRPr="00000000">
                          <w:rPr>
                            <w:b w:val="1"/>
                            <w:color w:val="00b050"/>
                            <w:rtl w:val="0"/>
                          </w:rPr>
                          <w:br w:type="textWrapping"/>
                        </w:r>
                        <w:hyperlink r:id="rId12">
                          <w:r w:rsidDel="00000000" w:rsidR="00000000" w:rsidRPr="00000000">
                            <w:rPr>
                              <w:b w:val="1"/>
                              <w:color w:val="0000ff"/>
                              <w:u w:val="single"/>
                              <w:rtl w:val="0"/>
                            </w:rPr>
                            <w:t xml:space="preserve">ebelmonte@mc-mutual.com</w:t>
                          </w:r>
                        </w:hyperlink>
                        <w:r w:rsidDel="00000000" w:rsidR="00000000" w:rsidRPr="00000000">
                          <w:rPr>
                            <w:rtl w:val="0"/>
                          </w:rPr>
                        </w:r>
                      </w:p>
                    </w:tc>
                  </w:tr>
                </w:tbl>
                <w:p w:rsidR="00000000" w:rsidDel="00000000" w:rsidP="00000000" w:rsidRDefault="00000000" w:rsidRPr="00000000" w14:paraId="0000001E">
                  <w:pPr>
                    <w:jc w:val="both"/>
                    <w:rPr/>
                  </w:pPr>
                  <w:r w:rsidDel="00000000" w:rsidR="00000000" w:rsidRPr="00000000">
                    <w:rPr>
                      <w:rtl w:val="0"/>
                    </w:rPr>
                  </w:r>
                </w:p>
              </w:tc>
            </w:tr>
          </w:tbl>
          <w:p w:rsidR="00000000" w:rsidDel="00000000" w:rsidP="00000000" w:rsidRDefault="00000000" w:rsidRPr="00000000" w14:paraId="0000001F">
            <w:pPr>
              <w:jc w:val="both"/>
              <w:rPr>
                <w:sz w:val="20"/>
                <w:szCs w:val="20"/>
                <w:highlight w:val="yellow"/>
              </w:rPr>
            </w:pPr>
            <w:r w:rsidDel="00000000" w:rsidR="00000000" w:rsidRPr="00000000">
              <w:rPr>
                <w:rtl w:val="0"/>
              </w:rPr>
            </w:r>
          </w:p>
          <w:p w:rsidR="00000000" w:rsidDel="00000000" w:rsidP="00000000" w:rsidRDefault="00000000" w:rsidRPr="00000000" w14:paraId="00000020">
            <w:pPr>
              <w:jc w:val="both"/>
              <w:rPr>
                <w:sz w:val="20"/>
                <w:szCs w:val="20"/>
                <w:highlight w:val="yellow"/>
              </w:rPr>
            </w:pPr>
            <w:r w:rsidDel="00000000" w:rsidR="00000000" w:rsidRPr="00000000">
              <w:rPr>
                <w:rtl w:val="0"/>
              </w:rPr>
            </w:r>
          </w:p>
          <w:p w:rsidR="00000000" w:rsidDel="00000000" w:rsidP="00000000" w:rsidRDefault="00000000" w:rsidRPr="00000000" w14:paraId="00000021">
            <w:pPr>
              <w:jc w:val="both"/>
              <w:rPr>
                <w:sz w:val="20"/>
                <w:szCs w:val="20"/>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Rounded Eleganc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right"/>
      <w:rPr>
        <w:rFonts w:ascii="Calibri" w:cs="Calibri" w:eastAsia="Calibri" w:hAnsi="Calibri"/>
        <w:b w:val="1"/>
        <w:i w:val="0"/>
        <w:smallCaps w:val="0"/>
        <w:strike w:val="0"/>
        <w:color w:val="a6a6a6"/>
        <w:sz w:val="56"/>
        <w:szCs w:val="5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6123305</wp:posOffset>
          </wp:positionH>
          <wp:positionV relativeFrom="paragraph">
            <wp:posOffset>-460374</wp:posOffset>
          </wp:positionV>
          <wp:extent cx="556260" cy="10858500"/>
          <wp:effectExtent b="0" l="0" r="0" t="0"/>
          <wp:wrapNone/>
          <wp:docPr descr="Lateral-NdP-+compromiso" id="12" name="image2.jpg"/>
          <a:graphic>
            <a:graphicData uri="http://schemas.openxmlformats.org/drawingml/2006/picture">
              <pic:pic>
                <pic:nvPicPr>
                  <pic:cNvPr descr="Lateral-NdP-+compromiso" id="0" name="image2.jpg"/>
                  <pic:cNvPicPr preferRelativeResize="0"/>
                </pic:nvPicPr>
                <pic:blipFill>
                  <a:blip r:embed="rId1"/>
                  <a:srcRect b="0" l="0" r="0" t="0"/>
                  <a:stretch>
                    <a:fillRect/>
                  </a:stretch>
                </pic:blipFill>
                <pic:spPr>
                  <a:xfrm>
                    <a:off x="0" y="0"/>
                    <a:ext cx="556260" cy="10858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6F74"/>
    <w:rPr>
      <w:rFonts w:ascii="Calibri" w:cs="Times New Roman" w:eastAsia="Calibri" w:hAnsi="Calibri"/>
    </w:rPr>
  </w:style>
  <w:style w:type="paragraph" w:styleId="Ttulo3">
    <w:name w:val="heading 3"/>
    <w:basedOn w:val="Normal"/>
    <w:link w:val="Ttulo3Car"/>
    <w:uiPriority w:val="9"/>
    <w:qFormat w:val="1"/>
    <w:rsid w:val="00F60F3E"/>
    <w:pPr>
      <w:spacing w:after="100" w:afterAutospacing="1" w:before="100" w:beforeAutospacing="1" w:line="240" w:lineRule="auto"/>
      <w:outlineLvl w:val="2"/>
    </w:pPr>
    <w:rPr>
      <w:rFonts w:ascii="Times New Roman" w:eastAsia="Times New Roman" w:hAnsi="Times New Roman"/>
      <w:b w:val="1"/>
      <w:bCs w:val="1"/>
      <w:sz w:val="27"/>
      <w:szCs w:val="27"/>
      <w:lang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uiPriority w:val="99"/>
    <w:unhideWhenUsed w:val="1"/>
    <w:rsid w:val="00F06F74"/>
    <w:rPr>
      <w:color w:val="0000ff"/>
      <w:u w:val="single"/>
    </w:rPr>
  </w:style>
  <w:style w:type="paragraph" w:styleId="Prrafodelista">
    <w:name w:val="List Paragraph"/>
    <w:aliases w:val="llistat"/>
    <w:basedOn w:val="Normal"/>
    <w:link w:val="PrrafodelistaCar"/>
    <w:uiPriority w:val="34"/>
    <w:qFormat w:val="1"/>
    <w:rsid w:val="00F06F74"/>
    <w:pPr>
      <w:spacing w:after="200" w:line="276" w:lineRule="auto"/>
      <w:ind w:left="720"/>
      <w:contextualSpacing w:val="1"/>
    </w:pPr>
  </w:style>
  <w:style w:type="paragraph" w:styleId="Cita">
    <w:name w:val="Quote"/>
    <w:basedOn w:val="Normal"/>
    <w:next w:val="Normal"/>
    <w:link w:val="CitaCar"/>
    <w:uiPriority w:val="9"/>
    <w:qFormat w:val="1"/>
    <w:rsid w:val="00F06F74"/>
    <w:pPr>
      <w:spacing w:before="40" w:line="288" w:lineRule="auto"/>
      <w:jc w:val="both"/>
    </w:pPr>
    <w:rPr>
      <w:rFonts w:ascii="Verdana" w:hAnsi="Verdana"/>
      <w:color w:val="595959"/>
      <w:kern w:val="20"/>
      <w:szCs w:val="20"/>
      <w:lang w:eastAsia="ja-JP" w:val="x-none"/>
    </w:rPr>
  </w:style>
  <w:style w:type="character" w:styleId="CitaCar" w:customStyle="1">
    <w:name w:val="Cita Car"/>
    <w:basedOn w:val="Fuentedeprrafopredeter"/>
    <w:link w:val="Cita"/>
    <w:uiPriority w:val="9"/>
    <w:rsid w:val="00F06F74"/>
    <w:rPr>
      <w:rFonts w:ascii="Verdana" w:cs="Times New Roman" w:eastAsia="Calibri" w:hAnsi="Verdana"/>
      <w:color w:val="595959"/>
      <w:kern w:val="20"/>
      <w:szCs w:val="20"/>
      <w:lang w:eastAsia="ja-JP" w:val="x-none"/>
    </w:rPr>
  </w:style>
  <w:style w:type="paragraph" w:styleId="Default" w:customStyle="1">
    <w:name w:val="Default"/>
    <w:rsid w:val="00F06F74"/>
    <w:pPr>
      <w:autoSpaceDE w:val="0"/>
      <w:autoSpaceDN w:val="0"/>
      <w:adjustRightInd w:val="0"/>
      <w:spacing w:after="0" w:line="240" w:lineRule="auto"/>
    </w:pPr>
    <w:rPr>
      <w:rFonts w:ascii="Verdana" w:cs="Verdana" w:eastAsia="Calibri" w:hAnsi="Verdana"/>
      <w:color w:val="000000"/>
      <w:sz w:val="24"/>
      <w:szCs w:val="24"/>
      <w:lang w:eastAsia="es-ES"/>
    </w:rPr>
  </w:style>
  <w:style w:type="character" w:styleId="PrrafodelistaCar" w:customStyle="1">
    <w:name w:val="Párrafo de lista Car"/>
    <w:aliases w:val="llistat Car"/>
    <w:link w:val="Prrafodelista"/>
    <w:uiPriority w:val="34"/>
    <w:rsid w:val="00F06F74"/>
    <w:rPr>
      <w:rFonts w:ascii="Calibri" w:cs="Times New Roman" w:eastAsia="Calibri" w:hAnsi="Calibri"/>
    </w:rPr>
  </w:style>
  <w:style w:type="paragraph" w:styleId="Encabezado">
    <w:name w:val="header"/>
    <w:basedOn w:val="Normal"/>
    <w:link w:val="EncabezadoCar"/>
    <w:uiPriority w:val="99"/>
    <w:unhideWhenUsed w:val="1"/>
    <w:rsid w:val="00F06F74"/>
    <w:pPr>
      <w:tabs>
        <w:tab w:val="center" w:pos="4252"/>
        <w:tab w:val="right" w:pos="8504"/>
      </w:tabs>
    </w:pPr>
  </w:style>
  <w:style w:type="character" w:styleId="EncabezadoCar" w:customStyle="1">
    <w:name w:val="Encabezado Car"/>
    <w:basedOn w:val="Fuentedeprrafopredeter"/>
    <w:link w:val="Encabezado"/>
    <w:uiPriority w:val="99"/>
    <w:rsid w:val="00F06F74"/>
    <w:rPr>
      <w:rFonts w:ascii="Calibri" w:cs="Times New Roman" w:eastAsia="Calibri" w:hAnsi="Calibri"/>
    </w:rPr>
  </w:style>
  <w:style w:type="paragraph" w:styleId="Piedepgina">
    <w:name w:val="footer"/>
    <w:basedOn w:val="Normal"/>
    <w:link w:val="PiedepginaCar"/>
    <w:uiPriority w:val="99"/>
    <w:unhideWhenUsed w:val="1"/>
    <w:rsid w:val="00F06F74"/>
    <w:pPr>
      <w:tabs>
        <w:tab w:val="center" w:pos="4252"/>
        <w:tab w:val="right" w:pos="8504"/>
      </w:tabs>
    </w:pPr>
  </w:style>
  <w:style w:type="character" w:styleId="PiedepginaCar" w:customStyle="1">
    <w:name w:val="Pie de página Car"/>
    <w:basedOn w:val="Fuentedeprrafopredeter"/>
    <w:link w:val="Piedepgina"/>
    <w:uiPriority w:val="99"/>
    <w:rsid w:val="00F06F74"/>
    <w:rPr>
      <w:rFonts w:ascii="Calibri" w:cs="Times New Roman" w:eastAsia="Calibri" w:hAnsi="Calibri"/>
    </w:rPr>
  </w:style>
  <w:style w:type="paragraph" w:styleId="NormalWeb">
    <w:name w:val="Normal (Web)"/>
    <w:basedOn w:val="Normal"/>
    <w:uiPriority w:val="99"/>
    <w:unhideWhenUsed w:val="1"/>
    <w:rsid w:val="00F06F74"/>
    <w:pPr>
      <w:spacing w:after="100" w:afterAutospacing="1" w:before="100" w:before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val="1"/>
    <w:unhideWhenUsed w:val="1"/>
    <w:rsid w:val="00723E8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23E84"/>
    <w:rPr>
      <w:rFonts w:ascii="Tahoma" w:cs="Tahoma" w:eastAsia="Calibri" w:hAnsi="Tahoma"/>
      <w:sz w:val="16"/>
      <w:szCs w:val="16"/>
    </w:rPr>
  </w:style>
  <w:style w:type="character" w:styleId="Textoennegrita">
    <w:name w:val="Strong"/>
    <w:basedOn w:val="Fuentedeprrafopredeter"/>
    <w:uiPriority w:val="22"/>
    <w:qFormat w:val="1"/>
    <w:rsid w:val="00B306D4"/>
    <w:rPr>
      <w:b w:val="1"/>
      <w:bCs w:val="1"/>
    </w:rPr>
  </w:style>
  <w:style w:type="character" w:styleId="ui-provider" w:customStyle="1">
    <w:name w:val="ui-provider"/>
    <w:basedOn w:val="Fuentedeprrafopredeter"/>
    <w:rsid w:val="00ED7279"/>
  </w:style>
  <w:style w:type="character" w:styleId="nfasis">
    <w:name w:val="Emphasis"/>
    <w:basedOn w:val="Fuentedeprrafopredeter"/>
    <w:uiPriority w:val="20"/>
    <w:qFormat w:val="1"/>
    <w:rsid w:val="00AF1535"/>
    <w:rPr>
      <w:i w:val="1"/>
      <w:iCs w:val="1"/>
    </w:rPr>
  </w:style>
  <w:style w:type="character" w:styleId="Ttulo3Car" w:customStyle="1">
    <w:name w:val="Título 3 Car"/>
    <w:basedOn w:val="Fuentedeprrafopredeter"/>
    <w:link w:val="Ttulo3"/>
    <w:uiPriority w:val="9"/>
    <w:rsid w:val="00F60F3E"/>
    <w:rPr>
      <w:rFonts w:ascii="Times New Roman" w:cs="Times New Roman" w:eastAsia="Times New Roman" w:hAnsi="Times New Roman"/>
      <w:b w:val="1"/>
      <w:bCs w:val="1"/>
      <w:sz w:val="27"/>
      <w:szCs w:val="27"/>
      <w:lang w:eastAsia="es-ES"/>
    </w:rPr>
  </w:style>
  <w:style w:type="character" w:styleId="Refdecomentario">
    <w:name w:val="annotation reference"/>
    <w:basedOn w:val="Fuentedeprrafopredeter"/>
    <w:uiPriority w:val="99"/>
    <w:semiHidden w:val="1"/>
    <w:unhideWhenUsed w:val="1"/>
    <w:rsid w:val="00AD6F1F"/>
    <w:rPr>
      <w:sz w:val="16"/>
      <w:szCs w:val="16"/>
    </w:rPr>
  </w:style>
  <w:style w:type="paragraph" w:styleId="Textocomentario">
    <w:name w:val="annotation text"/>
    <w:basedOn w:val="Normal"/>
    <w:link w:val="TextocomentarioCar"/>
    <w:uiPriority w:val="99"/>
    <w:semiHidden w:val="1"/>
    <w:unhideWhenUsed w:val="1"/>
    <w:rsid w:val="00AD6F1F"/>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AD6F1F"/>
    <w:rPr>
      <w:rFonts w:ascii="Calibri" w:cs="Times New Roman" w:eastAsia="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AD6F1F"/>
    <w:rPr>
      <w:b w:val="1"/>
      <w:bCs w:val="1"/>
    </w:rPr>
  </w:style>
  <w:style w:type="character" w:styleId="AsuntodelcomentarioCar" w:customStyle="1">
    <w:name w:val="Asunto del comentario Car"/>
    <w:basedOn w:val="TextocomentarioCar"/>
    <w:link w:val="Asuntodelcomentario"/>
    <w:uiPriority w:val="99"/>
    <w:semiHidden w:val="1"/>
    <w:rsid w:val="00AD6F1F"/>
    <w:rPr>
      <w:rFonts w:ascii="Calibri" w:cs="Times New Roman" w:eastAsia="Calibri" w:hAnsi="Calibri"/>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mailto:prensa@asepeyo.es" TargetMode="External"/><Relationship Id="rId13" Type="http://schemas.openxmlformats.org/officeDocument/2006/relationships/header" Target="header1.xml"/><Relationship Id="rId12" Type="http://schemas.openxmlformats.org/officeDocument/2006/relationships/hyperlink" Target="mailto:ebelmonte@mc-mutua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WIxkZxLEbU1LkdQJsdb34QwFg==">CgMxLjA4AHIhMU9hU1B4THEyOS1sSlptMl9yazhhcmoybDhrRFR2d2FC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2024-10-17T05:51:00Z</dcterms:created>
  <dc:creator>SrvGestion</dc:creator>
</cp:coreProperties>
</file>