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9318C" w14:textId="77777777" w:rsidR="00026774" w:rsidRDefault="006466CC">
      <w:pPr>
        <w:tabs>
          <w:tab w:val="center" w:pos="4252"/>
          <w:tab w:val="right" w:pos="8504"/>
        </w:tabs>
        <w:spacing w:line="240" w:lineRule="auto"/>
        <w:ind w:right="-607"/>
        <w:jc w:val="center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9174875" wp14:editId="0D4398BC">
            <wp:simplePos x="0" y="0"/>
            <wp:positionH relativeFrom="column">
              <wp:posOffset>6181725</wp:posOffset>
            </wp:positionH>
            <wp:positionV relativeFrom="paragraph">
              <wp:posOffset>0</wp:posOffset>
            </wp:positionV>
            <wp:extent cx="552450" cy="11052788"/>
            <wp:effectExtent l="0" t="0" r="0" b="0"/>
            <wp:wrapNone/>
            <wp:docPr id="3" name="image4.jpg" descr="Lateral-NdP-+compromi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Lateral-NdP-+compromis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1052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9E7D35" w14:textId="77777777" w:rsidR="00026774" w:rsidRDefault="00026774">
      <w:pPr>
        <w:tabs>
          <w:tab w:val="center" w:pos="4252"/>
          <w:tab w:val="right" w:pos="8504"/>
        </w:tabs>
        <w:spacing w:line="240" w:lineRule="auto"/>
        <w:ind w:right="-607"/>
        <w:jc w:val="center"/>
        <w:rPr>
          <w:rFonts w:ascii="Calibri" w:eastAsia="Calibri" w:hAnsi="Calibri" w:cs="Calibri"/>
        </w:rPr>
      </w:pPr>
    </w:p>
    <w:p w14:paraId="0F3640AF" w14:textId="77777777" w:rsidR="00026774" w:rsidRDefault="006466CC">
      <w:pPr>
        <w:tabs>
          <w:tab w:val="center" w:pos="4252"/>
          <w:tab w:val="right" w:pos="8504"/>
        </w:tabs>
        <w:spacing w:line="240" w:lineRule="auto"/>
        <w:ind w:right="-607"/>
        <w:jc w:val="center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5470AE2" wp14:editId="41796ED9">
            <wp:simplePos x="0" y="0"/>
            <wp:positionH relativeFrom="column">
              <wp:posOffset>85726</wp:posOffset>
            </wp:positionH>
            <wp:positionV relativeFrom="paragraph">
              <wp:posOffset>160089</wp:posOffset>
            </wp:positionV>
            <wp:extent cx="2448878" cy="762000"/>
            <wp:effectExtent l="0" t="0" r="0" b="0"/>
            <wp:wrapNone/>
            <wp:docPr id="1" name="image1.png" descr="logo-alianzademutuas---horizontal---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-alianzademutuas---horizontal---80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878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5C38AA" w14:textId="77777777" w:rsidR="00026774" w:rsidRDefault="00026774">
      <w:pPr>
        <w:tabs>
          <w:tab w:val="center" w:pos="4252"/>
          <w:tab w:val="right" w:pos="8504"/>
        </w:tabs>
        <w:spacing w:line="240" w:lineRule="auto"/>
        <w:ind w:right="-607"/>
        <w:jc w:val="center"/>
        <w:rPr>
          <w:rFonts w:ascii="Calibri" w:eastAsia="Calibri" w:hAnsi="Calibri" w:cs="Calibri"/>
        </w:rPr>
      </w:pPr>
    </w:p>
    <w:p w14:paraId="7FF6A958" w14:textId="77777777" w:rsidR="00026774" w:rsidRDefault="006466CC">
      <w:pPr>
        <w:tabs>
          <w:tab w:val="center" w:pos="4252"/>
          <w:tab w:val="right" w:pos="8504"/>
        </w:tabs>
        <w:spacing w:after="160" w:line="259" w:lineRule="auto"/>
        <w:jc w:val="right"/>
        <w:rPr>
          <w:rFonts w:ascii="Calibri" w:eastAsia="Calibri" w:hAnsi="Calibri" w:cs="Calibri"/>
        </w:rPr>
      </w:pPr>
      <w:r>
        <w:rPr>
          <w:rFonts w:ascii="Rounded Elegance" w:eastAsia="Rounded Elegance" w:hAnsi="Rounded Elegance" w:cs="Rounded Elegance"/>
          <w:b/>
          <w:bCs/>
          <w:color w:val="808080"/>
          <w:sz w:val="50"/>
          <w:szCs w:val="50"/>
        </w:rPr>
        <w:t>NOTA DE PRENSA</w:t>
      </w:r>
    </w:p>
    <w:p w14:paraId="34CBA222" w14:textId="77777777" w:rsidR="00026774" w:rsidRDefault="00026774">
      <w:pPr>
        <w:tabs>
          <w:tab w:val="center" w:pos="4252"/>
          <w:tab w:val="right" w:pos="8504"/>
        </w:tabs>
        <w:spacing w:line="240" w:lineRule="auto"/>
        <w:ind w:right="-607"/>
        <w:jc w:val="center"/>
        <w:rPr>
          <w:rFonts w:ascii="Calibri" w:eastAsia="Calibri" w:hAnsi="Calibri" w:cs="Calibri"/>
        </w:rPr>
      </w:pPr>
    </w:p>
    <w:p w14:paraId="0317D449" w14:textId="77777777" w:rsidR="00026774" w:rsidRDefault="00026774">
      <w:pPr>
        <w:tabs>
          <w:tab w:val="center" w:pos="4252"/>
          <w:tab w:val="right" w:pos="8504"/>
        </w:tabs>
        <w:spacing w:line="240" w:lineRule="auto"/>
        <w:ind w:right="-607"/>
        <w:jc w:val="center"/>
        <w:rPr>
          <w:rFonts w:ascii="Calibri" w:eastAsia="Calibri" w:hAnsi="Calibri" w:cs="Calibri"/>
        </w:rPr>
      </w:pPr>
    </w:p>
    <w:p w14:paraId="4437B781" w14:textId="77777777" w:rsidR="00026774" w:rsidRDefault="00026774">
      <w:pPr>
        <w:tabs>
          <w:tab w:val="center" w:pos="4252"/>
          <w:tab w:val="right" w:pos="8504"/>
        </w:tabs>
        <w:spacing w:line="240" w:lineRule="auto"/>
        <w:ind w:right="-607"/>
        <w:jc w:val="center"/>
        <w:rPr>
          <w:rFonts w:ascii="Calibri" w:eastAsia="Calibri" w:hAnsi="Calibri" w:cs="Calibri"/>
          <w:sz w:val="30"/>
          <w:szCs w:val="30"/>
        </w:rPr>
      </w:pPr>
    </w:p>
    <w:p w14:paraId="2887B88B" w14:textId="77777777" w:rsidR="00026774" w:rsidRDefault="006466CC">
      <w:pPr>
        <w:numPr>
          <w:ilvl w:val="0"/>
          <w:numId w:val="1"/>
        </w:numPr>
        <w:spacing w:after="200"/>
        <w:ind w:right="-180"/>
        <w:rPr>
          <w:rFonts w:ascii="Rounded Elegance" w:eastAsia="Rounded Elegance" w:hAnsi="Rounded Elegance" w:cs="Rounded Elegance"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Más de 400 profesionales de +compromiso se forman en epicondilitis</w:t>
      </w:r>
    </w:p>
    <w:p w14:paraId="79BF6D75" w14:textId="77777777" w:rsidR="00026774" w:rsidRDefault="00026774">
      <w:pPr>
        <w:spacing w:after="200"/>
        <w:ind w:left="708" w:right="-182"/>
        <w:jc w:val="center"/>
        <w:rPr>
          <w:rFonts w:ascii="Verdana" w:eastAsia="Verdana" w:hAnsi="Verdana" w:cs="Verdana"/>
          <w:b/>
          <w:bCs/>
          <w:sz w:val="10"/>
          <w:szCs w:val="10"/>
        </w:rPr>
      </w:pPr>
    </w:p>
    <w:p w14:paraId="3FD70DDA" w14:textId="77777777" w:rsidR="00026774" w:rsidRDefault="006466CC">
      <w:pPr>
        <w:spacing w:after="160" w:line="259" w:lineRule="auto"/>
        <w:jc w:val="both"/>
        <w:rPr>
          <w:rFonts w:ascii="Rounded Elegance" w:eastAsia="Rounded Elegance" w:hAnsi="Rounded Elegance" w:cs="Rounded Elegance"/>
          <w:color w:val="0D0D0D"/>
          <w:sz w:val="24"/>
          <w:szCs w:val="24"/>
        </w:rPr>
      </w:pPr>
      <w:r>
        <w:rPr>
          <w:rFonts w:ascii="Rounded Elegance" w:eastAsia="Rounded Elegance" w:hAnsi="Rounded Elegance" w:cs="Rounded Elegance"/>
          <w:color w:val="0D0D0D"/>
          <w:sz w:val="24"/>
          <w:szCs w:val="24"/>
        </w:rPr>
        <w:t>Barcelona, 27 de noviembre de 2025</w:t>
      </w:r>
    </w:p>
    <w:p w14:paraId="383B30D9" w14:textId="77777777" w:rsidR="00026774" w:rsidRDefault="006466CC">
      <w:pPr>
        <w:numPr>
          <w:ilvl w:val="0"/>
          <w:numId w:val="1"/>
        </w:numPr>
        <w:spacing w:after="200" w:line="240" w:lineRule="auto"/>
        <w:ind w:right="-182"/>
        <w:jc w:val="both"/>
        <w:rPr>
          <w:rFonts w:ascii="Rounded Elegance" w:eastAsia="Rounded Elegance" w:hAnsi="Rounded Elegance" w:cs="Rounded Elegance"/>
          <w:b/>
          <w:bCs/>
          <w:sz w:val="24"/>
          <w:szCs w:val="24"/>
        </w:rPr>
      </w:pPr>
      <w:bookmarkStart w:id="0" w:name="_gjdgxs" w:colFirst="0" w:colLast="0"/>
      <w:bookmarkEnd w:id="0"/>
      <w:r>
        <w:rPr>
          <w:b/>
          <w:bCs/>
          <w:sz w:val="24"/>
          <w:szCs w:val="24"/>
        </w:rPr>
        <w:t>Este trastorno musculoesquelético de la extremidad superior constituye una de las enfermedades profesionales más declaradas en España</w:t>
      </w:r>
    </w:p>
    <w:p w14:paraId="51CDC7B4" w14:textId="77777777" w:rsidR="00026774" w:rsidRDefault="00026774">
      <w:pPr>
        <w:ind w:right="-182"/>
        <w:jc w:val="both"/>
        <w:rPr>
          <w:rFonts w:ascii="Verdana" w:eastAsia="Verdana" w:hAnsi="Verdana" w:cs="Verdana"/>
        </w:rPr>
      </w:pPr>
    </w:p>
    <w:p w14:paraId="5E731A2F" w14:textId="77777777" w:rsidR="00026774" w:rsidRDefault="006466CC">
      <w:pPr>
        <w:ind w:right="-18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alianza de mutuas +compromiso, integrada por </w:t>
      </w:r>
      <w:proofErr w:type="spellStart"/>
      <w:r>
        <w:rPr>
          <w:b/>
          <w:bCs/>
          <w:sz w:val="20"/>
          <w:szCs w:val="20"/>
        </w:rPr>
        <w:t>Asepeyo</w:t>
      </w:r>
      <w:proofErr w:type="spellEnd"/>
      <w:r>
        <w:rPr>
          <w:b/>
          <w:bCs/>
          <w:sz w:val="20"/>
          <w:szCs w:val="20"/>
        </w:rPr>
        <w:t>, Fraternidad-</w:t>
      </w:r>
      <w:proofErr w:type="spellStart"/>
      <w:r>
        <w:rPr>
          <w:b/>
          <w:bCs/>
          <w:sz w:val="20"/>
          <w:szCs w:val="20"/>
        </w:rPr>
        <w:t>Muprespa</w:t>
      </w:r>
      <w:proofErr w:type="spellEnd"/>
      <w:r>
        <w:rPr>
          <w:b/>
          <w:bCs/>
          <w:sz w:val="20"/>
          <w:szCs w:val="20"/>
        </w:rPr>
        <w:t xml:space="preserve"> y MC MUTUAL</w:t>
      </w:r>
      <w:r>
        <w:rPr>
          <w:sz w:val="20"/>
          <w:szCs w:val="20"/>
        </w:rPr>
        <w:t xml:space="preserve">, ha celebrado la </w:t>
      </w:r>
      <w:r>
        <w:rPr>
          <w:b/>
          <w:bCs/>
          <w:sz w:val="20"/>
          <w:szCs w:val="20"/>
        </w:rPr>
        <w:t>IV</w:t>
      </w:r>
      <w:r>
        <w:rPr>
          <w:b/>
          <w:bCs/>
          <w:sz w:val="20"/>
          <w:szCs w:val="20"/>
        </w:rPr>
        <w:t xml:space="preserve"> Jornada de Enfermedades Profesionales, </w:t>
      </w:r>
      <w:r>
        <w:rPr>
          <w:sz w:val="20"/>
          <w:szCs w:val="20"/>
        </w:rPr>
        <w:t>enfocada en la</w:t>
      </w:r>
      <w:r>
        <w:rPr>
          <w:b/>
          <w:bCs/>
          <w:sz w:val="20"/>
          <w:szCs w:val="20"/>
        </w:rPr>
        <w:t xml:space="preserve"> epicondilitis</w:t>
      </w:r>
      <w:r>
        <w:rPr>
          <w:sz w:val="20"/>
          <w:szCs w:val="20"/>
        </w:rPr>
        <w:t xml:space="preserve">, uno de los trastornos musculoesqueléticos (TME) más frecuentes y una de las enfermedades profesionales que más se declaran en España. </w:t>
      </w:r>
    </w:p>
    <w:p w14:paraId="00C05618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6DB3821A" w14:textId="77777777" w:rsidR="00026774" w:rsidRDefault="006466CC">
      <w:pPr>
        <w:ind w:right="-182"/>
        <w:jc w:val="both"/>
        <w:rPr>
          <w:sz w:val="20"/>
          <w:szCs w:val="20"/>
        </w:rPr>
      </w:pPr>
      <w:r>
        <w:rPr>
          <w:sz w:val="20"/>
          <w:szCs w:val="20"/>
        </w:rPr>
        <w:t>La jornada virtual ha reunido a más de 400 profesi</w:t>
      </w:r>
      <w:r>
        <w:rPr>
          <w:sz w:val="20"/>
          <w:szCs w:val="20"/>
        </w:rPr>
        <w:t xml:space="preserve">onales, entre médicos, profesionales de enfermería, técnicos de prevención y técnicos de prestaciones, con el objetivo de actualizar y homogeneizar conocimientos sobre esta patología. </w:t>
      </w:r>
    </w:p>
    <w:p w14:paraId="1A92FFCF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146C577B" w14:textId="77777777" w:rsidR="00026774" w:rsidRDefault="006466CC">
      <w:pPr>
        <w:ind w:right="-18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epicondilitis es un proceso degenerativo del tendón, provocado por </w:t>
      </w:r>
      <w:r>
        <w:rPr>
          <w:sz w:val="20"/>
          <w:szCs w:val="20"/>
        </w:rPr>
        <w:t>posturas forzadas y movimientos repetitivos. Tiene una prevalencia del 1-3% en la población general y está asociada a pacientes en edad laboral entre los 20 y los 65 años, con un pico de incidencia entre los 40 y los 50 años.</w:t>
      </w:r>
    </w:p>
    <w:p w14:paraId="1B64D4C4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064316D5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56CFA2A0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769EA545" w14:textId="77777777" w:rsidR="00026774" w:rsidRDefault="006466CC">
      <w:pPr>
        <w:ind w:right="-182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6A9E404A" wp14:editId="54153F55">
            <wp:extent cx="5143500" cy="185737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373D68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453B83A4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173601A6" w14:textId="77777777" w:rsidR="00026774" w:rsidRDefault="006466CC">
      <w:pPr>
        <w:ind w:right="-18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“Abordar los TME como la epicondilitis contribuye a mejorar la vida de las personas trabajadoras, a la </w:t>
      </w:r>
      <w:proofErr w:type="gramStart"/>
      <w:r>
        <w:rPr>
          <w:sz w:val="20"/>
          <w:szCs w:val="20"/>
        </w:rPr>
        <w:t>vez  que</w:t>
      </w:r>
      <w:proofErr w:type="gramEnd"/>
      <w:r>
        <w:rPr>
          <w:sz w:val="20"/>
          <w:szCs w:val="20"/>
        </w:rPr>
        <w:t xml:space="preserve"> redunda en beneficio de las organizaciones”, explica la Dra. Mª Dulce Puget Bosch, directora de Medicina del Trabajo y Enfermedades Profesionale</w:t>
      </w:r>
      <w:r>
        <w:rPr>
          <w:sz w:val="20"/>
          <w:szCs w:val="20"/>
        </w:rPr>
        <w:t xml:space="preserve">s de </w:t>
      </w:r>
      <w:proofErr w:type="spellStart"/>
      <w:r>
        <w:rPr>
          <w:sz w:val="20"/>
          <w:szCs w:val="20"/>
        </w:rPr>
        <w:t>Asepeyo</w:t>
      </w:r>
      <w:proofErr w:type="spellEnd"/>
      <w:r>
        <w:rPr>
          <w:sz w:val="20"/>
          <w:szCs w:val="20"/>
        </w:rPr>
        <w:t xml:space="preserve"> y presentadora de la jornada. </w:t>
      </w:r>
    </w:p>
    <w:p w14:paraId="0DE9F355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6328B5EE" w14:textId="77777777" w:rsidR="00026774" w:rsidRDefault="006466CC">
      <w:pPr>
        <w:ind w:right="-18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jornada se ha centrado en ofrecer una </w:t>
      </w:r>
      <w:r>
        <w:rPr>
          <w:b/>
          <w:bCs/>
          <w:sz w:val="20"/>
          <w:szCs w:val="20"/>
        </w:rPr>
        <w:t>visión integral y actualizada de la patología a través de varios ejes</w:t>
      </w:r>
      <w:r>
        <w:rPr>
          <w:sz w:val="20"/>
          <w:szCs w:val="20"/>
        </w:rPr>
        <w:t>: la identificación de fuentes de riesgo profesional, su diagnóstico y tratamientos eficaces, la dete</w:t>
      </w:r>
      <w:r>
        <w:rPr>
          <w:sz w:val="20"/>
          <w:szCs w:val="20"/>
        </w:rPr>
        <w:t>rminación de la contingencia, y la reincorporación laboral exitosa de los pacientes.</w:t>
      </w:r>
    </w:p>
    <w:p w14:paraId="2BD85230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24D5D667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3A8EF487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1947A0FC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6BF79107" w14:textId="77777777" w:rsidR="00026774" w:rsidRDefault="006466CC">
      <w:pPr>
        <w:ind w:right="-182"/>
        <w:jc w:val="both"/>
        <w:rPr>
          <w:sz w:val="20"/>
          <w:szCs w:val="20"/>
          <w:highlight w:val="yellow"/>
        </w:rPr>
      </w:pPr>
      <w:r>
        <w:rPr>
          <w:sz w:val="20"/>
          <w:szCs w:val="20"/>
        </w:rPr>
        <w:lastRenderedPageBreak/>
        <w:t xml:space="preserve">El programa de la sesión se ha estructurado en dos bloques clave: uno técnico y otro sanitario. En cuanto a las exposiciones técnicas, </w:t>
      </w:r>
      <w:r>
        <w:rPr>
          <w:b/>
          <w:bCs/>
          <w:sz w:val="20"/>
          <w:szCs w:val="20"/>
        </w:rPr>
        <w:t>Juan Rodríguez, técnico de la di</w:t>
      </w:r>
      <w:r>
        <w:rPr>
          <w:b/>
          <w:bCs/>
          <w:sz w:val="20"/>
          <w:szCs w:val="20"/>
        </w:rPr>
        <w:t xml:space="preserve">rección de Prevención de </w:t>
      </w:r>
      <w:proofErr w:type="spellStart"/>
      <w:r>
        <w:rPr>
          <w:b/>
          <w:bCs/>
          <w:sz w:val="20"/>
          <w:szCs w:val="20"/>
        </w:rPr>
        <w:t>Asepeyo</w:t>
      </w:r>
      <w:proofErr w:type="spellEnd"/>
      <w:r>
        <w:rPr>
          <w:sz w:val="20"/>
          <w:szCs w:val="20"/>
        </w:rPr>
        <w:t xml:space="preserve">, ha realizado una ponencia sobre ergonomía y exposición laboral e </w:t>
      </w:r>
      <w:r>
        <w:rPr>
          <w:b/>
          <w:bCs/>
          <w:sz w:val="20"/>
          <w:szCs w:val="20"/>
        </w:rPr>
        <w:t>Ignacio Bermejo, director de Innovación en el Área de Tecnologías del Instituto de Biomecánica de Valencia</w:t>
      </w:r>
      <w:r>
        <w:rPr>
          <w:sz w:val="20"/>
          <w:szCs w:val="20"/>
        </w:rPr>
        <w:t>, ha analizado cómo la biomecánica puede contribuir</w:t>
      </w:r>
      <w:r>
        <w:rPr>
          <w:sz w:val="20"/>
          <w:szCs w:val="20"/>
        </w:rPr>
        <w:t xml:space="preserve"> a la gestión de la incapacidad por epicondilitis.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E2B81A9" wp14:editId="761A0BCE">
            <wp:simplePos x="0" y="0"/>
            <wp:positionH relativeFrom="column">
              <wp:posOffset>6181725</wp:posOffset>
            </wp:positionH>
            <wp:positionV relativeFrom="paragraph">
              <wp:posOffset>0</wp:posOffset>
            </wp:positionV>
            <wp:extent cx="552450" cy="11052788"/>
            <wp:effectExtent l="0" t="0" r="0" b="0"/>
            <wp:wrapNone/>
            <wp:docPr id="5" name="image4.jpg" descr="Lateral-NdP-+compromi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Lateral-NdP-+compromis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1052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39D33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3B32777B" w14:textId="77777777" w:rsidR="00026774" w:rsidRDefault="006466CC">
      <w:pPr>
        <w:ind w:right="-18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el ámbito sanitario han intervenido el </w:t>
      </w:r>
      <w:r>
        <w:rPr>
          <w:b/>
          <w:bCs/>
          <w:sz w:val="20"/>
          <w:szCs w:val="20"/>
        </w:rPr>
        <w:t xml:space="preserve">Dr. Gabriel del Monte Bello, médico adjunto de Traumatología en el Equipo de Miembro Superior y miembro de la Unidad de Hombro y Codo del Hospital Fraternidad </w:t>
      </w:r>
      <w:proofErr w:type="spellStart"/>
      <w:r>
        <w:rPr>
          <w:b/>
          <w:bCs/>
          <w:sz w:val="20"/>
          <w:szCs w:val="20"/>
        </w:rPr>
        <w:t>Mu</w:t>
      </w:r>
      <w:r>
        <w:rPr>
          <w:b/>
          <w:bCs/>
          <w:sz w:val="20"/>
          <w:szCs w:val="20"/>
        </w:rPr>
        <w:t>prespa</w:t>
      </w:r>
      <w:proofErr w:type="spellEnd"/>
      <w:r>
        <w:rPr>
          <w:b/>
          <w:bCs/>
          <w:sz w:val="20"/>
          <w:szCs w:val="20"/>
        </w:rPr>
        <w:t xml:space="preserve"> Habana</w:t>
      </w:r>
      <w:r>
        <w:rPr>
          <w:sz w:val="20"/>
          <w:szCs w:val="20"/>
        </w:rPr>
        <w:t xml:space="preserve">, con una ponencia sobre Epicondilitis laboral en la que ha analizado la clasificación, diagnóstico y tratamiento de esta patología; y el </w:t>
      </w:r>
      <w:r>
        <w:rPr>
          <w:b/>
          <w:bCs/>
          <w:sz w:val="20"/>
          <w:szCs w:val="20"/>
        </w:rPr>
        <w:t>Dr.  Emili Molina Vega, jefe de Departamento de Asistencia Sanitaria de MC Mutual</w:t>
      </w:r>
      <w:r>
        <w:rPr>
          <w:sz w:val="20"/>
          <w:szCs w:val="20"/>
        </w:rPr>
        <w:t>, con una exposición sob</w:t>
      </w:r>
      <w:r>
        <w:rPr>
          <w:sz w:val="20"/>
          <w:szCs w:val="20"/>
        </w:rPr>
        <w:t>re la determinación de contingencia.</w:t>
      </w:r>
    </w:p>
    <w:p w14:paraId="1A1E8E3D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21438ADC" w14:textId="77777777" w:rsidR="00026774" w:rsidRDefault="006466CC">
      <w:pPr>
        <w:ind w:right="-182"/>
        <w:jc w:val="both"/>
        <w:rPr>
          <w:sz w:val="20"/>
          <w:szCs w:val="20"/>
          <w:highlight w:val="yellow"/>
        </w:rPr>
      </w:pPr>
      <w:r>
        <w:rPr>
          <w:sz w:val="20"/>
          <w:szCs w:val="20"/>
        </w:rPr>
        <w:t xml:space="preserve">Para finalizar, se han presentado tres casos clínicos, elaborados </w:t>
      </w:r>
      <w:proofErr w:type="gramStart"/>
      <w:r>
        <w:rPr>
          <w:sz w:val="20"/>
          <w:szCs w:val="20"/>
        </w:rPr>
        <w:t>por  profesionales</w:t>
      </w:r>
      <w:proofErr w:type="gramEnd"/>
      <w:r>
        <w:rPr>
          <w:sz w:val="20"/>
          <w:szCs w:val="20"/>
        </w:rPr>
        <w:t xml:space="preserve"> sanitarios especialistas en enfermedades profesionales pertenecientes a las tres mutuas de la alianza. La </w:t>
      </w:r>
      <w:r>
        <w:rPr>
          <w:b/>
          <w:bCs/>
          <w:sz w:val="20"/>
          <w:szCs w:val="20"/>
        </w:rPr>
        <w:t>Dra. Rosina Casas Ortiz, de</w:t>
      </w:r>
      <w:r>
        <w:rPr>
          <w:b/>
          <w:bCs/>
          <w:sz w:val="20"/>
          <w:szCs w:val="20"/>
        </w:rPr>
        <w:t xml:space="preserve"> MC Mutual, </w:t>
      </w:r>
      <w:r>
        <w:rPr>
          <w:sz w:val="20"/>
          <w:szCs w:val="20"/>
        </w:rPr>
        <w:t xml:space="preserve">ha presentado un caso de epicondilitis estándar, el </w:t>
      </w:r>
      <w:r>
        <w:rPr>
          <w:b/>
          <w:bCs/>
          <w:sz w:val="20"/>
          <w:szCs w:val="20"/>
        </w:rPr>
        <w:t xml:space="preserve">Dr. Carlos Juan García Fernández, de </w:t>
      </w:r>
      <w:proofErr w:type="spellStart"/>
      <w:r>
        <w:rPr>
          <w:b/>
          <w:bCs/>
          <w:sz w:val="20"/>
          <w:szCs w:val="20"/>
        </w:rPr>
        <w:t>Asepeyo</w:t>
      </w:r>
      <w:proofErr w:type="spellEnd"/>
      <w:r>
        <w:rPr>
          <w:b/>
          <w:bCs/>
          <w:sz w:val="20"/>
          <w:szCs w:val="20"/>
        </w:rPr>
        <w:t>,</w:t>
      </w:r>
      <w:r>
        <w:rPr>
          <w:sz w:val="20"/>
          <w:szCs w:val="20"/>
        </w:rPr>
        <w:t xml:space="preserve"> ha expuesto un caso de epicondilitis lateral como enfermedad profesional, y la </w:t>
      </w:r>
      <w:r>
        <w:rPr>
          <w:b/>
          <w:bCs/>
          <w:sz w:val="20"/>
          <w:szCs w:val="20"/>
        </w:rPr>
        <w:t>Dra. Verónica Encinas, en representación de Fraternidad-</w:t>
      </w:r>
      <w:proofErr w:type="spellStart"/>
      <w:r>
        <w:rPr>
          <w:b/>
          <w:bCs/>
          <w:sz w:val="20"/>
          <w:szCs w:val="20"/>
        </w:rPr>
        <w:t>Muprespa</w:t>
      </w:r>
      <w:proofErr w:type="spellEnd"/>
      <w:r>
        <w:rPr>
          <w:sz w:val="20"/>
          <w:szCs w:val="20"/>
        </w:rPr>
        <w:t>, h</w:t>
      </w:r>
      <w:r>
        <w:rPr>
          <w:sz w:val="20"/>
          <w:szCs w:val="20"/>
        </w:rPr>
        <w:t>a compartido un caso de epicondilitis y neuropatía del nervio cubital.</w:t>
      </w:r>
    </w:p>
    <w:p w14:paraId="3732E573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36994A37" w14:textId="77777777" w:rsidR="00026774" w:rsidRDefault="006466CC">
      <w:pPr>
        <w:ind w:right="-18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IV Jornada de Enfermedades Profesionales, que sigue la línea de las tres ediciones anteriores, sobre asma, silicosis y dermatosis, refuerza el objetivo de la alianza +compromiso de </w:t>
      </w:r>
      <w:r>
        <w:rPr>
          <w:sz w:val="20"/>
          <w:szCs w:val="20"/>
        </w:rPr>
        <w:t>compartir conocimientos y estandarizar los protocolos de asistencia sanitaria con el fin de mejorar la salud de las personas trabajadoras.</w:t>
      </w:r>
    </w:p>
    <w:p w14:paraId="31C0E6DD" w14:textId="77777777" w:rsidR="00026774" w:rsidRDefault="00026774">
      <w:pPr>
        <w:ind w:right="-182"/>
        <w:jc w:val="both"/>
        <w:rPr>
          <w:sz w:val="20"/>
          <w:szCs w:val="20"/>
        </w:rPr>
      </w:pPr>
    </w:p>
    <w:p w14:paraId="50657FAE" w14:textId="77777777" w:rsidR="00026774" w:rsidRDefault="00026774">
      <w:pPr>
        <w:spacing w:line="240" w:lineRule="auto"/>
        <w:jc w:val="both"/>
        <w:rPr>
          <w:sz w:val="20"/>
          <w:szCs w:val="20"/>
        </w:rPr>
      </w:pPr>
    </w:p>
    <w:tbl>
      <w:tblPr>
        <w:tblStyle w:val="a"/>
        <w:tblW w:w="907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078"/>
      </w:tblGrid>
      <w:tr w:rsidR="00026774" w14:paraId="0C57C770" w14:textId="77777777">
        <w:trPr>
          <w:trHeight w:val="478"/>
          <w:jc w:val="center"/>
        </w:trPr>
        <w:tc>
          <w:tcPr>
            <w:tcW w:w="907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0166B" w14:textId="77777777" w:rsidR="00026774" w:rsidRDefault="00026774">
            <w:pPr>
              <w:widowControl w:val="0"/>
              <w:rPr>
                <w:rFonts w:ascii="Rounded Elegance" w:eastAsia="Rounded Elegance" w:hAnsi="Rounded Elegance" w:cs="Rounded Elegance"/>
                <w:sz w:val="24"/>
                <w:szCs w:val="24"/>
              </w:rPr>
            </w:pPr>
          </w:p>
          <w:tbl>
            <w:tblPr>
              <w:tblStyle w:val="a0"/>
              <w:tblW w:w="8862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8862"/>
            </w:tblGrid>
            <w:tr w:rsidR="00026774" w14:paraId="585E9416" w14:textId="77777777">
              <w:trPr>
                <w:trHeight w:val="498"/>
                <w:jc w:val="center"/>
              </w:trPr>
              <w:tc>
                <w:tcPr>
                  <w:tcW w:w="8862" w:type="dxa"/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FC8E968" w14:textId="77777777" w:rsidR="00026774" w:rsidRDefault="006466CC">
                  <w:pPr>
                    <w:pBdr>
                      <w:bottom w:val="single" w:sz="4" w:space="1" w:color="000000"/>
                    </w:pBdr>
                    <w:spacing w:after="160" w:line="259" w:lineRule="auto"/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SOBRE +COMPROMISO</w:t>
                  </w:r>
                </w:p>
                <w:p w14:paraId="29AEE8CA" w14:textId="77777777" w:rsidR="00026774" w:rsidRDefault="006466CC">
                  <w:pPr>
                    <w:spacing w:after="160" w:line="259" w:lineRule="auto"/>
                    <w:jc w:val="both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+compromiso alianza de mutuas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nació en marzo de 2019 como fruto del convenio suscrito por tres mutuas colaboradoras con la Seguridad Social: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Asepeyo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, Fraternidad-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Muprespa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 xml:space="preserve"> y MC MUTUAL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, con el objetivo de establecer un marco estable de colaboración, poniendo en común el conocimiento, las instalaciones y los servicios de los que dispone cada entidad, con respeto a la personalidad jurídica de cada una. </w:t>
                  </w:r>
                </w:p>
                <w:p w14:paraId="36255517" w14:textId="77777777" w:rsidR="00026774" w:rsidRDefault="006466CC">
                  <w:pPr>
                    <w:spacing w:after="150" w:line="240" w:lineRule="auto"/>
                    <w:jc w:val="both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Suma 351 centros asistenciales prop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ios, cinco hospitales más un hospital de día, y un equipo humano integrado por más de 7.000 profesionales. Su población protegida alcanza más de 5 millones de trabajadores y sus empresas mutualistas son cerca de 550.000. La cifra de trabajadores autónomos 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protegidos es cerca de un millón. </w:t>
                  </w:r>
                </w:p>
                <w:p w14:paraId="513E26AD" w14:textId="77777777" w:rsidR="00026774" w:rsidRDefault="006466CC">
                  <w:pPr>
                    <w:spacing w:after="150" w:line="240" w:lineRule="auto"/>
                    <w:jc w:val="both"/>
                    <w:rPr>
                      <w:rFonts w:ascii="Verdana" w:eastAsia="Verdana" w:hAnsi="Verdana" w:cs="Verdana"/>
                      <w:color w:val="595959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Los tres directores gerentes y los responsables de gestión de cada mutua forman su Comisión Ejecutiva. Su actividad se coordina a través de siete grupos de diferentes áreas de trabajo. </w:t>
                  </w:r>
                </w:p>
              </w:tc>
            </w:tr>
            <w:tr w:rsidR="00026774" w14:paraId="78F9EBEF" w14:textId="77777777">
              <w:trPr>
                <w:trHeight w:val="240"/>
                <w:jc w:val="center"/>
              </w:trPr>
              <w:tc>
                <w:tcPr>
                  <w:tcW w:w="8862" w:type="dxa"/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F63F6A5" w14:textId="77777777" w:rsidR="00026774" w:rsidRDefault="006466CC">
                  <w:pPr>
                    <w:spacing w:after="100" w:line="259" w:lineRule="auto"/>
                    <w:rPr>
                      <w:rFonts w:ascii="Calibri" w:eastAsia="Calibri" w:hAnsi="Calibri" w:cs="Calibri"/>
                      <w:b/>
                      <w:bCs/>
                      <w:i/>
                      <w:iCs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CONTACTO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br/>
                  </w:r>
                  <w:hyperlink r:id="rId8">
                    <w:r>
                      <w:rPr>
                        <w:rFonts w:ascii="Calibri" w:eastAsia="Calibri" w:hAnsi="Calibri" w:cs="Calibri"/>
                        <w:b/>
                        <w:bCs/>
                        <w:color w:val="1155CC"/>
                        <w:sz w:val="18"/>
                        <w:szCs w:val="18"/>
                        <w:u w:val="single"/>
                      </w:rPr>
                      <w:t>comunicacion@asepeyo.es</w:t>
                    </w:r>
                  </w:hyperlink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br/>
                  </w:r>
                  <w:hyperlink r:id="rId9"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18"/>
                        <w:szCs w:val="18"/>
                      </w:rPr>
                      <w:t>gabineteprensa@fraternidad.com</w:t>
                    </w:r>
                  </w:hyperlink>
                  <w:r>
                    <w:rPr>
                      <w:rFonts w:ascii="Calibri" w:eastAsia="Calibri" w:hAnsi="Calibri" w:cs="Calibri"/>
                      <w:b/>
                      <w:bCs/>
                      <w:color w:val="00B050"/>
                      <w:sz w:val="18"/>
                      <w:szCs w:val="18"/>
                    </w:rPr>
                    <w:br/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prensa@mc-mutual.com</w: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hidden="0" allowOverlap="1" wp14:anchorId="6043CEC0" wp14:editId="245F91C4">
                        <wp:simplePos x="0" y="0"/>
                        <wp:positionH relativeFrom="column">
                          <wp:posOffset>2517775</wp:posOffset>
                        </wp:positionH>
                        <wp:positionV relativeFrom="paragraph">
                          <wp:posOffset>47625</wp:posOffset>
                        </wp:positionV>
                        <wp:extent cx="2760345" cy="664210"/>
                        <wp:effectExtent l="0" t="0" r="0" b="0"/>
                        <wp:wrapNone/>
                        <wp:docPr id="4" name="image3.png" descr="Logotipos-Mutuas-Alianz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 descr="Logotipos-Mutuas-Alianza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0345" cy="66421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26DD216B" w14:textId="77777777" w:rsidR="00026774" w:rsidRDefault="00026774">
            <w:pPr>
              <w:spacing w:after="160" w:line="259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E8AC4B1" w14:textId="77777777" w:rsidR="00026774" w:rsidRDefault="00026774">
      <w:pPr>
        <w:spacing w:after="160" w:line="259" w:lineRule="auto"/>
        <w:jc w:val="both"/>
        <w:rPr>
          <w:b/>
          <w:bCs/>
          <w:color w:val="808080"/>
          <w:sz w:val="18"/>
          <w:szCs w:val="18"/>
        </w:rPr>
      </w:pPr>
    </w:p>
    <w:p w14:paraId="4CA88C32" w14:textId="77777777" w:rsidR="00026774" w:rsidRDefault="00026774">
      <w:pPr>
        <w:tabs>
          <w:tab w:val="left" w:pos="0"/>
        </w:tabs>
        <w:ind w:right="-182"/>
        <w:rPr>
          <w:rFonts w:ascii="Calibri" w:eastAsia="Calibri" w:hAnsi="Calibri" w:cs="Calibri"/>
        </w:rPr>
      </w:pPr>
    </w:p>
    <w:sectPr w:rsidR="00026774">
      <w:pgSz w:w="11909" w:h="16834"/>
      <w:pgMar w:top="283" w:right="1440" w:bottom="26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F614DC-2238-461F-819C-2ECD9082F9FC}"/>
    <w:embedBold r:id="rId2" w:fontKey="{3FBEF6B7-5C7B-455E-BEC4-4C728FE57F24}"/>
    <w:embedBoldItalic r:id="rId3" w:fontKey="{A0A0B5DC-D335-4F85-9E8B-964E0BAEF1D1}"/>
  </w:font>
  <w:font w:name="Rounded Elegance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D636B12-3F82-4793-B5EB-BDC8B30E7614}"/>
    <w:embedBold r:id="rId5" w:fontKey="{1038F334-F97A-4BC8-8A37-AECF4C4B52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0C5FFA-10A8-4991-98A6-B1B53C6409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A6D46"/>
    <w:multiLevelType w:val="multilevel"/>
    <w:tmpl w:val="C5D648A4"/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▪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774"/>
    <w:rsid w:val="00026774"/>
    <w:rsid w:val="0064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CE253"/>
  <w15:docId w15:val="{892245B4-9BD1-46C5-9E59-C2CCAD1DF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cion@asepeyo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718</Words>
  <Characters>3950</Characters>
  <Application>Microsoft Office Word</Application>
  <DocSecurity>4</DocSecurity>
  <Lines>32</Lines>
  <Paragraphs>9</Paragraphs>
  <ScaleCrop>false</ScaleCrop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Fociños Gonzalez, Margarita</dc:creator>
  <cp:lastModifiedBy>Fociños Gonzalez, Margarita</cp:lastModifiedBy>
  <cp:revision>2</cp:revision>
  <dcterms:created xsi:type="dcterms:W3CDTF">2025-12-02T09:37:00Z</dcterms:created>
  <dcterms:modified xsi:type="dcterms:W3CDTF">2025-12-02T09:37:00Z</dcterms:modified>
</cp:coreProperties>
</file>