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2930BE">
              <w:rPr>
                <w:b/>
                <w:bCs/>
                <w:i/>
                <w:iCs/>
                <w:noProof/>
              </w:rPr>
              <w:fldChar w:fldCharType="begin"/>
            </w:r>
            <w:r w:rsidR="002930B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930BE">
              <w:rPr>
                <w:b/>
                <w:bCs/>
                <w:i/>
                <w:iCs/>
                <w:noProof/>
              </w:rPr>
              <w:fldChar w:fldCharType="separate"/>
            </w:r>
            <w:r w:rsidR="003F44AB">
              <w:rPr>
                <w:b/>
                <w:bCs/>
                <w:i/>
                <w:iCs/>
                <w:noProof/>
              </w:rPr>
              <w:fldChar w:fldCharType="begin"/>
            </w:r>
            <w:r w:rsidR="003F44A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3F44AB">
              <w:rPr>
                <w:b/>
                <w:bCs/>
                <w:i/>
                <w:iCs/>
                <w:noProof/>
              </w:rPr>
              <w:instrText>INCLUDEPICTURE  "cid:image001.png@01</w:instrText>
            </w:r>
            <w:r w:rsidR="003F44AB">
              <w:rPr>
                <w:b/>
                <w:bCs/>
                <w:i/>
                <w:iCs/>
                <w:noProof/>
              </w:rPr>
              <w:instrText>D20820.8DF2F010" \* MERGEFORMATINET</w:instrText>
            </w:r>
            <w:r w:rsidR="003F44A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3F44AB">
              <w:rPr>
                <w:b/>
                <w:bCs/>
                <w:i/>
                <w:iCs/>
                <w:noProof/>
              </w:rPr>
              <w:fldChar w:fldCharType="separate"/>
            </w:r>
            <w:r w:rsidR="003F44AB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3F44AB">
              <w:rPr>
                <w:b/>
                <w:bCs/>
                <w:i/>
                <w:iCs/>
                <w:noProof/>
              </w:rPr>
              <w:fldChar w:fldCharType="end"/>
            </w:r>
            <w:r w:rsidR="002930BE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2930BE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6,7 millones de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>960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>l</w:t>
            </w:r>
            <w:r w:rsidR="00483710">
              <w:rPr>
                <w:rFonts w:ascii="Verdana" w:hAnsi="Verdana"/>
                <w:b/>
                <w:color w:val="00B050"/>
                <w:sz w:val="24"/>
                <w:szCs w:val="24"/>
              </w:rPr>
              <w:t>a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Comunidad de Madrid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B10577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483710">
              <w:rPr>
                <w:rFonts w:ascii="Verdana" w:hAnsi="Verdana"/>
              </w:rPr>
              <w:t xml:space="preserve"> </w:t>
            </w:r>
            <w:r w:rsidR="00B10577">
              <w:rPr>
                <w:rFonts w:ascii="Verdana" w:hAnsi="Verdana"/>
              </w:rPr>
              <w:t xml:space="preserve">la Comunidad de Madrid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B10577">
              <w:rPr>
                <w:rFonts w:ascii="Verdana" w:hAnsi="Verdana"/>
              </w:rPr>
              <w:t>1.018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</w:t>
            </w:r>
            <w:r w:rsidR="00B10577">
              <w:rPr>
                <w:rFonts w:ascii="Verdana" w:hAnsi="Verdana"/>
              </w:rPr>
              <w:t xml:space="preserve">la Comunidad de Madrid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>rante la campaña</w:t>
            </w:r>
            <w:r w:rsidR="002930BE">
              <w:rPr>
                <w:rFonts w:ascii="Verdana" w:hAnsi="Verdana"/>
              </w:rPr>
              <w:t xml:space="preserve"> 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B10577">
              <w:rPr>
                <w:rFonts w:ascii="Verdana" w:hAnsi="Verdana"/>
              </w:rPr>
              <w:t>6.700.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B10577">
              <w:rPr>
                <w:rFonts w:ascii="Verdana" w:hAnsi="Verdana"/>
              </w:rPr>
              <w:t>960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B10577">
              <w:rPr>
                <w:rFonts w:ascii="Verdana" w:hAnsi="Verdana"/>
              </w:rPr>
              <w:t xml:space="preserve">1.018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2930BE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Mutua Colaboradora da cobertura a sus empresas y gestiona para ellas estos incentivos. </w:t>
            </w:r>
          </w:p>
          <w:p w:rsidR="00D50051" w:rsidRPr="009317CC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3F44A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:rsidR="002930BE" w:rsidRDefault="002930BE" w:rsidP="002930B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3F44AB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2930BE" w:rsidRDefault="002930BE" w:rsidP="002930BE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2930BE" w:rsidRDefault="003F44AB" w:rsidP="002930BE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</w:t>
            </w:r>
            <w:bookmarkStart w:id="0" w:name="_GoBack"/>
            <w:bookmarkEnd w:id="0"/>
            <w:r w:rsidR="002930BE"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2930BE" w:rsidRDefault="002930BE" w:rsidP="002930B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2930BE" w:rsidRDefault="002930BE" w:rsidP="002930B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930BE" w:rsidRDefault="002930B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3F44AB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3F44AB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2930BE"/>
    <w:rsid w:val="003F44AB"/>
    <w:rsid w:val="00483710"/>
    <w:rsid w:val="00674CEA"/>
    <w:rsid w:val="00765F28"/>
    <w:rsid w:val="00A5142A"/>
    <w:rsid w:val="00B10577"/>
    <w:rsid w:val="00D11BBF"/>
    <w:rsid w:val="00D50051"/>
    <w:rsid w:val="00D665E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9</cp:revision>
  <dcterms:created xsi:type="dcterms:W3CDTF">2020-05-13T16:25:00Z</dcterms:created>
  <dcterms:modified xsi:type="dcterms:W3CDTF">2020-05-14T09:45:00Z</dcterms:modified>
</cp:coreProperties>
</file>